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1.000660.000.00.00.H19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đưa bến xe khách vào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yêu cầu giải quyết thủ tục chuẩn bị đầy đủ các giấy tờ theo thành phần và sô lượng hồ sơ đã được quy định tại thủ tục này.
- Bước 2: Nộp hồ sơ tại Trung tâm hành chính công tỉnh (gọi là Trung tâm); Công chức tiếp nhận hồ sơ có trách nhiệm hướng dẫn, kiểm tra tính pháp lý,  tính đầy đủ nội dung hồ sơ ; chuyển giao hồ sơ về Sở Giao thông vận tải.
- Bước 3: Sở Giao thông vận tải tiếp nhận, giải quyết, nhập tình trạng giải quyết hồ sơ lên phần mềm quản lý, giao kết quả hồ sơ về Trung tâm (việc nhận và giao kết quả hồ sơ thông qua nhân viên bưu điện). 
- Bước 4: Trung tâm có trách nhiệm giao trả kết quả trực tiếp (hoặc qua hệ thống bưu điện) cho đương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đưa bến xe khách vào khai thác theo mẫu</w:t>
            </w:r>
          </w:p>
        </w:tc>
        <w:tc>
          <w:p/>
          <w:p>
            <w:pPr>
              <w:spacing w:after="0" w:before="0" w:lineRule="auto" w:line="276"/>
              <w:jc w:val="left"/>
            </w:pPr>
            <w:r>
              <w:rPr>
                <w:rFonts w:ascii="Times New Roman" w:hAnsi="Times New Roman" w:cs="Times New Roman" w:eastAsia="Times New Roman"/>
                <w:b w:val="false"/>
                <w:sz w:val="26"/>
              </w:rPr>
              <w:t>Don_TT1.000660.docx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đấu nối đường ra, vào bến xe với đường bộ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bố trí mặt bằng tổng thể bến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đối chiếu các quy định kỹ thuật theo Quy chuẩn kỹ thuật quốc gia về bến xe khách với các công trình của bến xe</w:t>
            </w:r>
          </w:p>
        </w:tc>
        <w:tc>
          <w:p/>
          <w:p>
            <w:pPr>
              <w:spacing w:after="0" w:before="0" w:lineRule="auto" w:line="276"/>
              <w:jc w:val="left"/>
            </w:pPr>
            <w:r>
              <w:rPr>
                <w:rFonts w:ascii="Times New Roman" w:hAnsi="Times New Roman" w:cs="Times New Roman" w:eastAsia="Times New Roman"/>
                <w:b w:val="false"/>
                <w:sz w:val="26"/>
              </w:rPr>
              <w:t>DC_TT1.000660.docx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quản lý khai thác bến xe khách do đơn vị kinh doanh dịch vụ bến xe khách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đầu tư xây dựng, cải tạo của cơ quan có thẩm quyền nếu có thay đổi so với lần công bố trước (bản chính hoặc bản sao có chứng thực hoặc bản sao điện tử được cấp từ sổ gốc hoặc bản sao điện tử được chứng thực từ bản chính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các công trình xây dựng,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qua dịch vụ bưu chính đến Trung tâm Phục vụ hành chính công tỉnh; - Nộp trực tuyến qua Cổng DVC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đưa bến xe khách vào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22/2014/TT-BGTVT</w:t>
            </w:r>
          </w:p>
        </w:tc>
        <w:tc>
          <w:p/>
          <w:p>
            <w:pPr>
              <w:spacing w:after="0" w:before="0" w:lineRule="auto" w:line="276"/>
              <w:jc w:val="left"/>
            </w:pPr>
            <w:r>
              <w:rPr>
                <w:rFonts w:ascii="Times New Roman" w:hAnsi="Times New Roman" w:cs="Times New Roman" w:eastAsia="Times New Roman"/>
                <w:b w:val="false"/>
                <w:sz w:val="26"/>
              </w:rPr>
              <w:t>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06-06-2014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36/2024/TT-BGTVT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hoạt động của bến xe, bãi đỗ xe, trạm dừng nghỉ, điểm dừng xe trên đường bộ; quy định trình tự, thủ tục đưa bến xe, trạm dừng nghỉ vào khai thác</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40/2024/TT-BGTVT</w:t>
            </w:r>
          </w:p>
        </w:tc>
        <w:tc>
          <w:p/>
          <w:p>
            <w:pPr>
              <w:spacing w:after="0" w:before="0" w:lineRule="auto" w:line="276"/>
              <w:jc w:val="left"/>
            </w:pPr>
            <w:r>
              <w:rPr>
                <w:rFonts w:ascii="Times New Roman" w:hAnsi="Times New Roman" w:cs="Times New Roman" w:eastAsia="Times New Roman"/>
                <w:b w:val="false"/>
                <w:sz w:val="26"/>
              </w:rPr>
              <w:t>Quy định về phòng, chống, khắc phục hậu quả lụt thiên tai trong lĩnh vực đường bộ</w:t>
            </w:r>
          </w:p>
        </w:tc>
        <w:tc>
          <w:p/>
          <w:p>
            <w:pPr>
              <w:spacing w:after="0" w:before="0" w:lineRule="auto" w:line="276"/>
              <w:jc w:val="left"/>
            </w:pPr>
            <w:r>
              <w:rPr>
                <w:rFonts w:ascii="Times New Roman" w:hAnsi="Times New Roman" w:cs="Times New Roman" w:eastAsia="Times New Roman"/>
                <w:b w:val="false"/>
                <w:sz w:val="26"/>
              </w:rPr>
              <w:t>15-11-2024</w:t>
            </w:r>
          </w:p>
        </w:tc>
        <w:tc>
          <w:p/>
        </w:tc>
      </w:tr>
      <w:tr>
        <w:tc>
          <w:p/>
          <w:p>
            <w:pPr>
              <w:spacing w:after="0" w:before="0" w:lineRule="auto" w:line="276"/>
              <w:jc w:val="left"/>
            </w:pPr>
            <w:r>
              <w:rPr>
                <w:rFonts w:ascii="Times New Roman" w:hAnsi="Times New Roman" w:cs="Times New Roman" w:eastAsia="Times New Roman"/>
                <w:b w:val="false"/>
                <w:sz w:val="26"/>
              </w:rPr>
              <w:t>2503/QĐ-BXD</w:t>
            </w:r>
          </w:p>
        </w:tc>
        <w:tc>
          <w:p/>
          <w:p>
            <w:pPr>
              <w:spacing w:after="0" w:before="0" w:lineRule="auto" w:line="276"/>
              <w:jc w:val="left"/>
            </w:pPr>
            <w:r>
              <w:rPr>
                <w:rFonts w:ascii="Times New Roman" w:hAnsi="Times New Roman" w:cs="Times New Roman" w:eastAsia="Times New Roman"/>
                <w:b w:val="false"/>
                <w:sz w:val="26"/>
              </w:rPr>
              <w:t>Quyết định 2503/QĐ-BXD năm 2026 công bố thủ tục hành chính được sửa đổi, bổ sung, bãi bỏ trong lĩnh vực đường bộ thuộc phạm vi chức năng quản lý nhà nước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72/2025/TT-BXD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36/2024/TT-BGTVT ngày 15 tháng 11 năm 2024 của Bộ trưởng Bộ Giao thông vận tải quy định về tổ chức, quản lý hoạt động vận tải bằng xe ô tô và hoạt động của bến xe, bãi đỗ xe, trạm dừng nghỉ, điểm dừng xe trên đường bộ; quy định trình tự, thủ tục đưa bến xe, trạm dừng nghỉ vào khai thác, Thông tư số 40/2024/TT- BGTVT ngày 15 tháng 11 năm 2024 của Bộ trưởng Bộ Giao thông vận tải quy định về công tác phòng, chống, khắc phục hậu quả thiên tai trong lĩnh vực đường bộ; Thông tư số 41/2024/TT-BGTVT ngày 15 tháng 11 năm 2024 của Bộ trưởng Bộ Giao thông vận tải quy định về quản lý, vận hành, khai thác và bảo trì kết cấu hạ tầng đường bộ; Thông tư số 22/2014/TT-BGTVT ngày 06 tháng 6 năm 2014 của Bộ trưởng Bộ Giao thông vận tải hướng dẫn xây dựng quy trình vận hành, khai thác bến phà, bến khách ngang sông sử dụng phà một lưỡi chở hành khách và xe ô tô;</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Bến xe khách đưa vào khai thác phải đáp ứng yêu cầu theo Quy chuẩn kỹ thuật quốc gia về bến xe khách.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2026-04-30T13:32:21Z</dcterms:created>
  <dc:creator>Apache POI</dc:creator>
</cp:coreProperties>
</file>