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1.001612.000.00.00.H24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2831/QĐ</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hoặc nhóm cá nhân hoặc người đại diện hộ gia đình gửi Giấy đề nghị đăng ký hộ kinh doanh đến cơ quan đăng ký kinh doanh cấp huyện nơi đặt địa điểm kinh doanh.
</w:t>
      </w:r>
    </w:p>
    <w:p>
      <w:pPr>
        <w:spacing w:after="0" w:before="0" w:lineRule="auto" w:line="276"/>
        <w:jc w:val="both"/>
      </w:pPr>
      <w:r>
        <w:rPr>
          <w:rFonts w:ascii="Times New Roman" w:hAnsi="Times New Roman" w:cs="Times New Roman" w:eastAsia="Times New Roman"/>
          <w:b w:val="false"/>
          <w:sz w:val="26"/>
        </w:rPr>
        <w:t>- Trường hợp hồ sơ không hợp lệ, cơ quan đăng ký kinh doanh cấp huyện phải thông báo rõ nội dung cần sửa đổi, bổ sung bằng văn bản cho người thành lập hộ kinh doanh.
</w:t>
      </w:r>
    </w:p>
    <w:p>
      <w:pPr>
        <w:spacing w:after="0" w:before="0" w:lineRule="auto" w:line="276"/>
        <w:jc w:val="both"/>
      </w:pPr>
      <w:r>
        <w:rPr>
          <w:rFonts w:ascii="Times New Roman" w:hAnsi="Times New Roman" w:cs="Times New Roman" w:eastAsia="Times New Roman"/>
          <w:b w:val="false"/>
          <w:sz w:val="26"/>
        </w:rPr>
        <w:t>- Khi tiếp nhận hồ sơ, cơ quan đăng ký kinh doanh cấp huyện trao Giấy biên nhận và cấp Giấy chứng nhận đăng ký hộ kinh doanh cho hộ kinh doanh.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r>
          </w:p>
          <w:p>
            <w:pPr>
              <w:spacing w:after="0" w:before="0" w:lineRule="auto" w:line="276"/>
              <w:jc w:val="left"/>
            </w:pPr>
            <w:r>
              <w:rPr>
                <w:rFonts w:ascii="Times New Roman" w:hAnsi="Times New Roman" w:cs="Times New Roman" w:eastAsia="Times New Roman"/>
                <w:b w:val="false"/>
                <w:sz w:val="26"/>
              </w:rPr>
              <w:t>Lệ phí : 100.000 Đồng</w:t>
              <w:t xml:space="preserve"> (Phía Đông: 100.000 đồng/lần áp dụng từ 01/01/2019)</w:t>
            </w:r>
          </w:p>
          <w:p>
            <w:pPr>
              <w:spacing w:after="0" w:before="0" w:lineRule="auto" w:line="276"/>
              <w:jc w:val="left"/>
            </w:pPr>
            <w:r>
              <w:rPr>
                <w:rFonts w:ascii="Times New Roman" w:hAnsi="Times New Roman" w:cs="Times New Roman" w:eastAsia="Times New Roman"/>
                <w:b w:val="false"/>
                <w:sz w:val="26"/>
              </w:rPr>
              <w:t>Lệ phí : 100.000 Đồng</w:t>
              <w:t xml:space="preserve"> (Phía Tây: 100.000 đồng/lần áp dụng từ 01/07/2025)</w:t>
            </w:r>
          </w:p>
        </w:tc>
        <w:tc>
          <w:p/>
          <w:p>
            <w:pPr>
              <w:spacing w:after="0" w:before="0" w:lineRule="auto" w:line="276"/>
              <w:jc w:val="left"/>
            </w:pPr>
            <w:r>
              <w:rPr>
                <w:rFonts w:ascii="Times New Roman" w:hAnsi="Times New Roman" w:cs="Times New Roman" w:eastAsia="Times New Roman"/>
                <w:b w:val="false"/>
                <w:sz w:val="26"/>
              </w:rPr>
              <w:t>Cá nhân hoặc nhóm cá nhân hoặc người đại diện hộ gia đình nộp hồ sơ tại cơ quan đăng ký kinh doanh cấp huyện nơi đặt địa điểm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0 Đồng</w:t>
              <w:t xml:space="preserve"> (Mức thu lệ phí "0 đồng" đối với TTHC thực hiện trực tuyến)</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100.000 Đồng</w:t>
              <w:t xml:space="preserve"> (Phía Tây: 100.000 đồng/lần áp dụng từ 01/7/2025)</w:t>
            </w:r>
          </w:p>
          <w:p>
            <w:pPr>
              <w:spacing w:after="0" w:before="0" w:lineRule="auto" w:line="276"/>
              <w:jc w:val="left"/>
            </w:pPr>
            <w:r>
              <w:rPr>
                <w:rFonts w:ascii="Times New Roman" w:hAnsi="Times New Roman" w:cs="Times New Roman" w:eastAsia="Times New Roman"/>
                <w:b w:val="false"/>
                <w:sz w:val="26"/>
              </w:rPr>
              <w:t>Lệ phí : 100.000 Đồng</w:t>
              <w:t xml:space="preserve"> (Phía Đông: 100.000 đồng/lần áp dụng từ 01/01/2019)</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hộ kinh doanh;</w:t>
            </w:r>
          </w:p>
        </w:tc>
        <w:tc>
          <w:p/>
          <w:p>
            <w:pPr>
              <w:spacing w:after="0" w:before="0" w:lineRule="auto" w:line="276"/>
              <w:jc w:val="left"/>
            </w:pPr>
            <w:r>
              <w:rPr>
                <w:rFonts w:ascii="Times New Roman" w:hAnsi="Times New Roman" w:cs="Times New Roman" w:eastAsia="Times New Roman"/>
                <w:b w:val="false"/>
                <w:sz w:val="26"/>
              </w:rPr>
              <w:t>Mus1-Pl2.doc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hộ gia đình cho một thành viên làm chủ hộ kinh doanh đối với trường hợp hộ kinh doanh do các thành viên hộ gia đình đăng ký thành lập.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Tài chính - Kế hoạch thuộc 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250/2016/TT-BTC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78/2015/NĐ-CP</w:t>
            </w:r>
          </w:p>
        </w:tc>
        <w:tc>
          <w:p/>
          <w:p>
            <w:pPr>
              <w:spacing w:after="0" w:before="0" w:lineRule="auto" w:line="276"/>
              <w:jc w:val="left"/>
            </w:pPr>
            <w:r>
              <w:rPr>
                <w:rFonts w:ascii="Times New Roman" w:hAnsi="Times New Roman" w:cs="Times New Roman" w:eastAsia="Times New Roman"/>
                <w:b w:val="false"/>
                <w:sz w:val="26"/>
              </w:rPr>
              <w:t>Nghị định 78/2015/NĐ-CP</w:t>
            </w:r>
          </w:p>
        </w:tc>
        <w:tc>
          <w:p/>
          <w:p>
            <w:pPr>
              <w:spacing w:after="0" w:before="0" w:lineRule="auto" w:line="276"/>
              <w:jc w:val="left"/>
            </w:pPr>
            <w:r>
              <w:rPr>
                <w:rFonts w:ascii="Times New Roman" w:hAnsi="Times New Roman" w:cs="Times New Roman" w:eastAsia="Times New Roman"/>
                <w:b w:val="false"/>
                <w:sz w:val="26"/>
              </w:rPr>
              <w:t>14-09-2015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20/2015/TT-BKHĐT</w:t>
            </w:r>
          </w:p>
        </w:tc>
        <w:tc>
          <w:p/>
          <w:p>
            <w:pPr>
              <w:spacing w:after="0" w:before="0" w:lineRule="auto" w:line="276"/>
              <w:jc w:val="left"/>
            </w:pPr>
            <w:r>
              <w:rPr>
                <w:rFonts w:ascii="Times New Roman" w:hAnsi="Times New Roman" w:cs="Times New Roman" w:eastAsia="Times New Roman"/>
                <w:b w:val="false"/>
                <w:sz w:val="26"/>
              </w:rPr>
              <w:t>Thông tư 20/2015/TT-BKHĐT</w:t>
            </w:r>
          </w:p>
        </w:tc>
        <w:tc>
          <w:p/>
          <w:p>
            <w:pPr>
              <w:spacing w:after="0" w:before="0" w:lineRule="auto" w:line="276"/>
              <w:jc w:val="left"/>
            </w:pPr>
            <w:r>
              <w:rPr>
                <w:rFonts w:ascii="Times New Roman" w:hAnsi="Times New Roman" w:cs="Times New Roman" w:eastAsia="Times New Roman"/>
                <w:b w:val="false"/>
                <w:sz w:val="26"/>
              </w:rPr>
              <w:t>01-12-2015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02/2019/TT-BKHĐT	</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20/2015/TT-BKHĐT ngày 01 tháng 12 năm 2015 của Bộ Kế hoạch và Đầu tư hướng dẫn về đăng ký doanh nghiệp</w:t>
            </w:r>
          </w:p>
        </w:tc>
        <w:tc>
          <w:p/>
          <w:p>
            <w:pPr>
              <w:spacing w:after="0" w:before="0" w:lineRule="auto" w:line="276"/>
              <w:jc w:val="left"/>
            </w:pPr>
            <w:r>
              <w:rPr>
                <w:rFonts w:ascii="Times New Roman" w:hAnsi="Times New Roman" w:cs="Times New Roman" w:eastAsia="Times New Roman"/>
                <w:b w:val="false"/>
                <w:sz w:val="26"/>
              </w:rPr>
              <w:t>08-01-2019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Hộ kinh doanh được cấp Giấy chứng nhận đăng ký hộ kinh doanh khi có đủ các điều kiện sau đây:
- Ngành, nghề đăng ký kinh doanh không bị cấm đầu tư kinh doanh;
- Tên của hộ kinh doanh được đặt theo đúng quy định tại Điều 88 Nghị định số 01/2021/NĐ-CP;
- Có hồ sơ đăng ký hộ kinh doanh hợp lệ;
- Nộp đủ lệ phí đăng ký hộ kinh doanh theo quy định.
(ii) Hồ sơ đăng ký hộ kinh doanh qua mạng thông tin điện tử được chấp thuận khi có đầy đủ các yêu cầu sau:
- Có đầy đủ các giấy tờ và nội dung các giấy tờ đó được kê khai đầy đủ theo quy định như hồ sơ đăng ký hộ kinh doanh bằng bản giấy và được thể hiện dưới dạng văn bản điện tử. Tên văn bản điện tử phải được đặt tương ứng với tên loại giấy tờ trong hồ sơ đăng ký hộ kinh doanh bằng bản giấy. Chủ hộ kinh doanh, các thành viên hộ gia đình hoặc cá nhân khác ký tên trong hồ sơ đăng ký hộ kinh doanh có thể sử dụng chữ ký số để ký trực tiếp trên văn bản điện tử hoặc ký trực tiếp trên văn bản giấy và quét (scan) văn bản giấy theo các định dạng quy định tại khoản 2 Điều 5g (bổ sung tại Khoản 2 Điều 1 Thông tư số 02/2023/TT-BKHĐT ngày 18/4/2023 của Bộ Kế hoạch và Đầu tư sửa đổi, bổ sung một số điều của Thông tư số 01/2021/TT-BKHĐT);
- Các thông tin đăng ký hộ kinh doanh được kê khai trên hệ thống thông tin về đăng ký hộ kinh doanh phải được nhập đầy đủ và chính xác theo các thông tin trong hồ sơ đăng ký hộ kinh doanh bằng bản giấy; trong đó có thông tin về số điện thoại, thư điện tử của người nộp hồ sơ;
- Hồ sơ đăng ký hộ kinh doanh qua mạng thông tin điện tử phải được xác thực bằng chữ ký số của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khoản 4 Điều 84 Nghị định số 01/2021/NĐ-CP.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2026-05-18T17:00:32Z</dcterms:created>
  <dc:creator>Apache POI</dc:creator>
</cp:coreProperties>
</file>