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2868/QĐ-NHNN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thành lập và hoạt động tổ chức tín dụng phi ngân hàng cổ phần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Bước 1: Ban trù bị thành lập tổ chức tín dụng phi ngân hàng gửi trực tiếp hoặc qua dịch vụ bưu chính đến trụ sở chính Ngân hàng Nhà nước Việt Nam (Bộ phận Một cửa) hồ sơ đề nghị cấp Giấy phép thành lập và hoạt động tổ chức tín dụng phi ngân hàng trách nhiệm hữu hạn.
 Bước 2: Trong thời hạn 10 ngày làm việc kể từ ngày nhận được hồ sơ đề nghị cấp Giấy phép, Ngân hàng Nhà nước có văn bản gửi Ban trù bị xác nhận đã nhận đầy đủ hồ sơ hợp lệ để xem xét chấp thuận nguyên tắc hoặc yêu cầu bổ sung hồ sơ trong trường hợp hồ sơ đề nghị cấp Giấy phép không đầy đủ.
 Bước 3: Trong thời hạn 90 ngày kể từ ngày gửi văn bản xác nhận đã nhận đầy đủ hồ sơ hợp lệ, Ngân hàng Nhà nước có văn bản chấp thuận nguyên tắc thành lập tổ chức tín dụng phi ngân hàng. Trường hợp không chấp thuận, Ngân hàng Nhà nước trả lời bằng văn bản, trong đó nêu rõ lý do không chấp thuận.
Bước 4: Trong thời hạn 60 ngày kể từ ngày nhận được văn bản chấp thuận nguyên tắc thành lập tổ chức tín dụng phi ngân hàng, Ban trù bị gửi trực tiếp hoặc bằng đường bưu điện đến Ngân hàng Nhà nước các văn bản bổ sung hồ sơ đề nghị cấp Giấy phép. Quá thời hạn nêu trên, Ngân hàng Nhà nước không nhận được hoặc nhận được không đầy đủ các văn bản bổ sung hồ sơ đề nghị cấp Giấy phép thì văn bản chấp thuận nguyên tắc không còn giá trị.
Bước 5: Trong thời hạn 05 ngày làm việc kể từ ngày nhận được đầy đủ các văn bản bổ sung, Ngân hàng Nhà nước xác nhận bằng văn bản về việc đã nhận đầy đủ văn bản.
 Bước 6: Trong thời hạn 30 ngày kể từ ngày nhận đầy đủ các văn bản bổ sung, Ngân hàng Nhà nước tiến hành cấp Giấy phép theo quy định. Trường hợp không cấp Giấy phép, Ngân hàng Nhà nước trả lời bằng văn bản, trong đó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 xml:space="preserve">Phí : 70.000.000 </w:t>
            </w:r>
          </w:p>
        </w:tc>
        <w:tc>
          <w:p/>
          <w:p>
            <w:pPr>
              <w:spacing w:after="0" w:before="0" w:lineRule="auto" w:line="276"/>
              <w:jc w:val="left"/>
            </w:pPr>
            <w:r>
              <w:rPr>
                <w:rFonts w:ascii="Times New Roman" w:hAnsi="Times New Roman" w:cs="Times New Roman" w:eastAsia="Times New Roman"/>
                <w:b w:val="false"/>
                <w:sz w:val="26"/>
              </w:rPr>
              <w:t>
180 ngày kể từ ngày Ngân hàng Nhà nước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 xml:space="preserve">Phí : 70.000.000 </w:t>
            </w:r>
          </w:p>
        </w:tc>
        <w:tc>
          <w:p/>
          <w:p>
            <w:pPr>
              <w:spacing w:after="0" w:before="0" w:lineRule="auto" w:line="276"/>
              <w:jc w:val="left"/>
            </w:pPr>
            <w:r>
              <w:rPr>
                <w:rFonts w:ascii="Times New Roman" w:hAnsi="Times New Roman" w:cs="Times New Roman" w:eastAsia="Times New Roman"/>
                <w:b w:val="false"/>
                <w:sz w:val="26"/>
              </w:rPr>
              <w:t>
180 ngày kể từ ngày Ngân hàng Nhà nước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theo mẫu quy định tại Phụ lục số 01 Thông tư số 05/2023/TT-NHNN.</w:t>
            </w:r>
          </w:p>
        </w:tc>
        <w:tc>
          <w:p/>
          <w:p>
            <w:pPr>
              <w:spacing w:after="0" w:before="0" w:lineRule="auto" w:line="276"/>
              <w:jc w:val="left"/>
            </w:pPr>
            <w:r>
              <w:rPr>
                <w:rFonts w:ascii="Times New Roman" w:hAnsi="Times New Roman" w:cs="Times New Roman" w:eastAsia="Times New Roman"/>
                <w:b w:val="false"/>
                <w:sz w:val="26"/>
              </w:rPr>
              <w:t>PHỤ LỤC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Dự thảo Điều lệ của tổ chức tín dụng phi ngân hàng đã được Hội nghị thành lập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Đề án thành lập tổ chức tín dụng phi ngân hàng đã được Hội nghị thành lập thông qua, bao gồm tối thiểu các nội dung sau đây:  a) Sự cần thiết thành lập;  b) Tên tổ chức tín dụng phi ngân hàng đề nghị thành lập, loại hình, tên tỉnh/thành phố nơi dự kiến đặt trụ sở chính, thời gian hoạt động, vốn điều lệ khi thành lập, nội dung hoạt động và khả năng đáp ứng các điều kiện hoạt động ngân hàng quy định đối với loại hình tổ chức tín dụng phi ngân hàng đề nghị thành lập;  c) Năng lực tài chính của các cổ đông sáng lập, cổ đông góp vốn thành lập;  d) Sơ đồ tổ chức và mạng lưới hoạt động dự kiến trong 03 năm đầu tiên;  đ) Danh sách nhân sự dự kiến, trong đó mô tả chi tiết trình độ chuyên môn, kinh nghiệm công tác trong lĩnh vực tài chính, ngân hàng và quản trị rủi ro đáp ứng được các yêu cầu của từng vị trí, chức danh:  (i) Chủ tịch, thành viên, thành viên độc lập Hội đồng quản trị; Trưởng ban các Ủy Ban thuộc Hội đồng quản trị; (ii) Trưởng ban, thành viên, thành viên chuyên trách Ban kiểm soát;  (iii) Tổng giám đốc (Giám đốc), các Phó Tổng giám đốc (Phó giám đốc), Kế toán trưởng và người đứng đầu các đơn vị trực thuộc trong cơ cấu tổ chức;  e) Chính sách quản lý rủi ro: Nhận diện, đo lường, phòng ngừa, quản lý và kiểm soát rủi ro tín dụng, rủi ro hoạt động, rủi ro thị trường, rủi ro thanh khoản và các rủi ro khác trong quá trình hoạt động;  g) Công nghệ thông tin:  (i) Kế hoạch đầu tư hệ thống công nghệ thông tin, trong đó thuyết minh về hệ thống công nghệ thông tin dự kiến đầu tư đảm bảo đáp ứng các yêu cầu về quản trị điều hành, quản lý rủi ro của tổ chức tín dụng phi ngân hàng và các quy định của Ngân hàng Nhà nước;  (ii) Thời gian thực hiện đầu tư công nghệ; loại hình công nghệ dự kiến áp dụng; dự kiến cán bộ và khả năng của cán bộ trong việc áp dụng công nghệ thông tin; khả năng tích hợp và kết nối với hệ thống quản lý của Ngân hàng Nhà nước để cung cấp thông tin theo yêu cầu quản lý của Ngân hàng Nhà nước; đảm bảo hệ thống công nghệ thông tin hỗ trợ hệ thống thông tin quản lý hiệu quả;  (iii) Hồ sơ về hệ thống công nghệ thông tin phục vụ cho hoạt động;  (iv) Các giải pháp bảo đảm an toàn, bảo mật phù hợp với nội dung hoạt động dự kiến triển khai;  (v) Nhận diện, đo lường và phương án quản lý rủi ro đối với công nghệ dự kiến áp dụng;  (vi) Dự kiến phân công trách nhiệm báo cáo và kiểm soát hoạt động hệ thống công nghệ thông tin;  h) Khả năng phát triển bền vững trên thị trường:  (i) Phân tích và đánh giá thị trường, trong đó nêu được thực trạng, thách thức và triển vọng;  (ii) Khả năng tham gia và cạnh tranh trên thị trường, trong đó chứng minh được lợi thế khi tham gia thị trường; = (iii) Chiến lược phát triển, mở rộng mạng lưới hoạt động và nội dung hoạt động ngân hàng, đối tượng khách hàng, trong đó phân tích chi tiết việc đáp ứng các điều kiện đối với những nội dung hoạt động có điều kiện;  i) Hệ thống kiểm soát, kiểm toán nội bộ:  (i) Nguyên tắc hoạt động của hệ thống kiểm soát nội bộ;  (ii) Dự thảo các quy định nội bộ cơ bản về tổ chức và hoạt động của tổ chức tín dụng phi ngân hàng, tối thiểu bao gồm các quy định nội bộ quy định tại khoản 2 Điều 93 Luật các tổ chức tín dụng và các quy định sau đây:  - Quy định về tổ chức và hoạt động của Hội đồng quản trị, Ban kiểm soát, Người điều hành;  - Quy định về tổ chức và hoạt động của trụ sở chính, chi nhánh và các đơn vị trực thuộc khác;  (iii) Nội dung và quy trình hoạt động của kiểm toán nội bộ;  k) Phương án kinh doanh dự kiến trong 03 năm đầu, trong đó tối thiểu phải bao gồm các nội dung sau đây: Phân tích thị trường, chiến lược, mục tiêu và kế hoạch kinh doanh; các báo cáo tài chính dự kiến của từng năm (bảng cân đối kế toán, báo cáo kết quả kinh doanh, báo cáo lưu chuyển tiền tệ, chỉ tiêu an toàn vốn tối thiểu, các chỉ tiêu về hiệu quả hoạt động và thuyết minh khả năng thực hiện các chỉ tiêu tài chính trong từng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Tài liệu chứng minh năng lực của bộ máy quản trị, kiểm soát, điều hành dự kiến:  a) Sơ yếu lý lịch theo mẫu quy định tại Phụ lục số 02 Thông tư số 05/2023/TT-NHNN; Phiếu lý lịch tư pháp:  Đối với người có quốc tịch Việt Nam: Phiếu lý lịch tư pháp do cơ quan quản lý cơ sở dữ liệu lý lịch tư pháp cấp, trong đó phải có đầy đủ thông tin về tình trạng án tích (bao gồm án tích đã được xóa và án tích chưa được xóa) và thông tin về việc cấm đảm nhiệm chức vụ, thành lập, quản lý doanh nghiệp, hợp tác xã;  Đối với người không có quốc tịch Việt Nam: Phiếu lý lịch tư pháp hoặc văn bản có giá trị tương đương (có đầy đủ thông tin về tình trạng án tích, bao gồm án tích đã được xóa và án tích chưa được xóa; thông tin về việc cấm đảm nhiệm chức vụ, thành lập, quản lý doanh nghiệp, hợp tác xã) phải được cơ quan có thẩm quyền của Việt Nam hoặc cơ quan có thẩm quyền của nước ngoài cấp theo quy định; Phiếu lý lịch tư pháp hoặc văn bản có giá trị tương đương phải được cơ quan có thẩm quyền cấp trước thời điểm nộp hồ sơ đề nghị cấp Giấy phép không quá 06 (sáu) tháng.  Việc xác nhận Sơ yếu lý lịch của tổ chức, cá nhân được thực hiện trên cơ sở khai thác dữ liệu cư trú của công dân trên Cơ sở dữ liệu quốc gia về dân cư hoặc kiểm tra ứng dụng VNeID theo hướng dẫn của Bộ Công an; không yêu cầu tổ chức, cá nhân nộp, xuất trình sổ hộ khẩu, sổ tạm trú giấy theo đúng quy định tại Điều 14 Nghị định số 104/2022/NĐ-CP của Chính phủ.  b) Bản sao các văn bằng chứng minh trình độ chuyên môn;  c) Các tài liệu khác chứng minh việc đáp ứng các điều kiện, tiêu chuẩn theo quy định tại Luật các tổ chức tín dụng và các quy định của pháp luật có liên quan;  d) Trường hợp người dự kiến được bầu làm thành viên Hội đồng quản trị, thành viên Ban kiểm soát, Tổng giám đốc (Giám đốc) không có quốc tịch Việt Nam, ngoài các văn bản nêu trên, phải có văn bản cam kết đáp ứng đủ các điều kiện để được cư trú và làm việc tại Việt Nam.</w:t>
            </w:r>
          </w:p>
        </w:tc>
        <w:tc>
          <w:p/>
          <w:p>
            <w:pPr>
              <w:spacing w:after="0" w:before="0" w:lineRule="auto" w:line="276"/>
              <w:jc w:val="left"/>
            </w:pPr>
            <w:r>
              <w:rPr>
                <w:rFonts w:ascii="Times New Roman" w:hAnsi="Times New Roman" w:cs="Times New Roman" w:eastAsia="Times New Roman"/>
                <w:b w:val="false"/>
                <w:sz w:val="26"/>
              </w:rPr>
              <w:t>PHỤ LỤC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Biên bản Hội nghị thành lập thông qua dự thảo Điều lệ, đề án thành lập tổ chức tín dụng phi ngân hàng, danh sách các chức danh quản trị, kiểm soát, điều hành dự kiến và lựa chọn Ban trù bị, Trưởng Ban trù bị.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Danh sách các cổ đông sáng lập, cổ đông góp vốn thành lập theo mẫu quy định tại Phụ lục số 03 Thông tư số 05/2023/TT-NHNN.</w:t>
            </w:r>
          </w:p>
        </w:tc>
        <w:tc>
          <w:p/>
          <w:p>
            <w:pPr>
              <w:spacing w:after="0" w:before="0" w:lineRule="auto" w:line="276"/>
              <w:jc w:val="left"/>
            </w:pPr>
            <w:r>
              <w:rPr>
                <w:rFonts w:ascii="Times New Roman" w:hAnsi="Times New Roman" w:cs="Times New Roman" w:eastAsia="Times New Roman"/>
                <w:b w:val="false"/>
                <w:sz w:val="26"/>
              </w:rPr>
              <w:t>PHỤ LỤC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Hồ sơ của cổ đông góp vốn thành lập:  a) Đối với cá nhân: (i) Đơn mua cổ phần theo mẫu quy định tại Phụ lục số 04A Thông tư số 05/2023/TT-NHNN;	  (ii) Bảng kê khai người có liên quan theo mẫu quy định tại Phụ lục số 05 Thông tư số 05/2023/TT-NHNN; b) Đối với cá nhân là cổ đông sáng lập:  (i) Hồ sơ quy định tại điểm a nêu trên;  (ii) Sơ yếu lý lịch theo mẫu quy định tại Phụ lục số 02 Thông tư số 05/2023/TT-NHNN; Phiếu lý lịch tư pháp do cơ quan quản lý cơ sở dữ liệu lý lịch tư pháp cấp, trong đó phải có đầy đủ thông tin về tình trạng án tích (bao gồm án tích đã được xóa và án tích chưa được xóa) và thông tin về việc cấm đảm nhiệm chức vụ, thành lập, quản lý doanh nghiệp, hợp tác xã; Phiếu lý lịch tư pháp phải được cơ quan có thẩm quyền cấp trước thời điểm nộp hồ sơ đề nghị cấp Giấy phép không quá 06 (sáu) tháng.  Việc xác nhận Sơ yếu lý lịch của tổ chức, cá nhân được thực hiện trên cơ sở khai thác dữ liệu cư trú của công dân trên Cơ sở dữ liệu quốc gia về dân cư hoặc kiểm tra ứng dụng VNeID theo hướng dẫn của Bộ Công an; không yêu cầu tổ chức, cá nhân nộp, xuất trình sổ hộ khẩu, sổ tạm trú giấy theo đúng quy định tại Điều 14 Nghị định số 104/2022/NĐ-CP của Chính phủ.  iii) Bảng kê khai thông tin về lịch sử quan hệ tín dụng của cá nhân theo mẫu quy định tại Phụ lục số 06 Thông tư số 05/2023/TT-NHNN; c) Đối với tổ chức:  (i) Đơn mua cổ phần theo mẫu quy định tại Phụ lục số 04B Thông tư số 05/2023/TT-NHNN; (ii) Bảng kê khai người có liên quan theo mẫu quy định tại Phụ lục số 05 Thông tư số 05/2023/TT-NHNN; (iii) Văn bản uỷ quyền người đại diện vốn góp tại tổ chức tín dụng phi ngân hàng theo quy định của pháp luật;  (iv) Bản sao Điều lệ tổ chức và hoạt động;  (v) Văn bản của cấp có thẩm quyền chấp thuận cho tổ chức được góp vốn thành lập tổ chức tín dụng phi ngân hàng;  (vi) Báo cáo tài chính của năm liền kề trước năm nộp hồ sơ đề nghị cấp Giấy phép và báo cáo tài chính đến thời điểm gần nhất tính từ thời điểm nộp hồ sơ đề nghị cấp Giấy phép được kiểm toán bởi tổ chức kiểm toán độc lập và không có ý kiến ngoại trừ. Trường hợp tại thời điểm nộp hồ sơ đề nghị cấp Giấy phép chưa có báo cáo tài chính được kiểm toán thì nộp báo cáo tài chính chưa được kiểm toán và phải nộp báo cáo tài chính được kiểm toán ngay sau khi tổ chức kiểm toán phát hành báo cáo kiểm toán và phải chịu trách nhiệm về nội dung báo cáo tài chính đã nộp;  (vii) Báo cáo khả năng tài chính tham gia góp vốn thành lập tổ chức tín dụng phi ngân hàng của tổ chức không phải là ngân hàng thương mại theo mẫu quy định tại Phụ lục số 08 Thông tư số 30/2015/TT-NHNN;  (viii) Văn bản của cơ quan thuế, cơ quan bảo hiểm xã hội xác nhận về việc thực hiện đầy đủ các nghĩa vụ thuế, bảo hiểm xã hội của tổ chức; d) Đối với tổ chức là cổ đông sáng lập:  d) Đối với tổ chức là cổ đông sáng lập: (i) Hồ sơ quy định tại điểm c nêu trên; (ii) Sơ yếu lý lịch theo mẫu quy định tại Phụ lục số 02 Thông tư số 05/2023/TT-NHNN; Phiếu lý lịch tư pháp của người đại diện theo pháp luật, người được cử đại diện phần vốn góp của tổ chức tại tổ chức tín dụng phi ngân hàng theo quy định tại điểm a khoản 4 Điều 14 Thông tư số 30/2015/TT-NHNN;  Việc xác nhận Sơ yếu lý lịch của tổ chức, cá nhân được thực hiện trên cơ sở khai thác dữ liệu cư trú của công dân trên Cơ sở dữ liệu quốc gia về dân cư hoặc kiểm tra ứng dụng VNeID theo hướng dẫn của Bộ Công an; không yêu cầu tổ chức, cá nhân nộp, xuất trình sổ hộ khẩu, sổ tạm trú giấy theo đúng quy định tại Điều 14 Nghị định số 104/2022/NĐ-CP của Chính phủ.  (iii) Bảng kê khai thông tin về lịch sử quan hệ tín dụng của tổ chức theo mẫu quy định tại Phụ lục số 07 Thông tư số 30/2015/TT-NHNN;  (iv) Báo cáo tài chính trong 03 năm liền kề trước năm nộp hồ sơ đề nghị cấp Giấy phép đã được kiểm toán bởi tổ chức kiểm toán độc lập và không có ý kiến ngoại trừ. Trường hợp tại thời điểm nộp hồ sơ đề nghị cấp Giấy phép chưa có báo cáo tài chính của năm liền kề được kiểm toán thì nộp báo cáo tài chính chưa được kiểm toán và phải nộp báo cáo tài chính được kiểm toán ngay sau khi tổ chức kiểm toán phát hành báo cáo kiểm toán và phải chịu trách nhiệm về nội dung báo cáo tài chính đã nộp.</w:t>
            </w:r>
          </w:p>
        </w:tc>
        <w:tc>
          <w:p/>
          <w:p>
            <w:pPr>
              <w:spacing w:after="0" w:before="0" w:lineRule="auto" w:line="276"/>
              <w:jc w:val="left"/>
            </w:pPr>
            <w:r>
              <w:rPr>
                <w:rFonts w:ascii="Times New Roman" w:hAnsi="Times New Roman" w:cs="Times New Roman" w:eastAsia="Times New Roman"/>
                <w:b w:val="false"/>
                <w:sz w:val="26"/>
              </w:rPr>
              <w:t>PHỤ LỤC SỐ 02.docx</w:t>
            </w:r>
          </w:p>
          <w:p>
            <w:pPr>
              <w:spacing w:after="0" w:before="0" w:lineRule="auto" w:line="276"/>
              <w:jc w:val="left"/>
            </w:pPr>
            <w:r>
              <w:rPr>
                <w:rFonts w:ascii="Times New Roman" w:hAnsi="Times New Roman" w:cs="Times New Roman" w:eastAsia="Times New Roman"/>
                <w:b w:val="false"/>
                <w:sz w:val="26"/>
              </w:rPr>
              <w:t>PHỤ LỤC SỐ 04B.docx</w:t>
            </w:r>
          </w:p>
          <w:p>
            <w:pPr>
              <w:spacing w:after="0" w:before="0" w:lineRule="auto" w:line="276"/>
              <w:jc w:val="left"/>
            </w:pPr>
            <w:r>
              <w:rPr>
                <w:rFonts w:ascii="Times New Roman" w:hAnsi="Times New Roman" w:cs="Times New Roman" w:eastAsia="Times New Roman"/>
                <w:b w:val="false"/>
                <w:sz w:val="26"/>
              </w:rPr>
              <w:t>PHỤ LỤC SỐ 07.docx</w:t>
            </w:r>
          </w:p>
          <w:p>
            <w:pPr>
              <w:spacing w:after="0" w:before="0" w:lineRule="auto" w:line="276"/>
              <w:jc w:val="left"/>
            </w:pPr>
            <w:r>
              <w:rPr>
                <w:rFonts w:ascii="Times New Roman" w:hAnsi="Times New Roman" w:cs="Times New Roman" w:eastAsia="Times New Roman"/>
                <w:b w:val="false"/>
                <w:sz w:val="26"/>
              </w:rPr>
              <w:t>PHỤ LỤC SỐ 08.docx</w:t>
            </w:r>
          </w:p>
          <w:p>
            <w:pPr>
              <w:spacing w:after="0" w:before="0" w:lineRule="auto" w:line="276"/>
              <w:jc w:val="left"/>
            </w:pPr>
            <w:r>
              <w:rPr>
                <w:rFonts w:ascii="Times New Roman" w:hAnsi="Times New Roman" w:cs="Times New Roman" w:eastAsia="Times New Roman"/>
                <w:b w:val="false"/>
                <w:sz w:val="26"/>
              </w:rPr>
              <w:t>PHỤ LỤC SỐ 05.docx</w:t>
            </w:r>
          </w:p>
          <w:p>
            <w:pPr>
              <w:spacing w:after="0" w:before="0" w:lineRule="auto" w:line="276"/>
              <w:jc w:val="left"/>
            </w:pPr>
            <w:r>
              <w:rPr>
                <w:rFonts w:ascii="Times New Roman" w:hAnsi="Times New Roman" w:cs="Times New Roman" w:eastAsia="Times New Roman"/>
                <w:b w:val="false"/>
                <w:sz w:val="26"/>
              </w:rPr>
              <w:t>PHỤ LỤC SỐ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nộp bổ sung hồ sơ đề nghị cấp Giấy phép sau khi được Ngân hàng Nhà nước chấp thuận nguyên tắc:  + Điều lệ của tổ chức tín dụng phi ngân hàng đã được Đại hội thành lập thông qua;  + Biên bản và Nghị quyết của Đại hội thành lập về việc thông qua Điều lệ, bầu các chức danh thành viên Hội đồng quản trị, thành viên Ban kiểm soát, quy định về tổ chức và hoạt động của Hội đồng quản trị, Ban kiểm soát;  + Biên bản họp Hội đồng quản trị về việc bầu chức danh Chủ tịch Hội đồng quản trị; Biên bản họp Ban kiểm soát về việc bầu chức danh Trưởng ban kiểm soát và thành viên Ban kiểm soát chuyên trách;  + Quyết định của Hội đồng quản trị về việc bổ nhiệm chức danh Tổng giám đốc (Giám đốc), Phó Tổng giám đốc (Phó giám đốc), Kế toán trưởng;  + Văn bản của một ngân hàng thương mại Việt Nam nơi Ban trù bị mở tài khoản góp vốn xác nhận số tiền góp vốn của các cổ đông góp vốn thành lập;  + Văn bản chứng minh quyền sở hữu hoặc quyền sử dụng hợp pháp địa điểm đặt trụ sở chính;  + Các quy định nội bộ về tổ chức và hoạt động của tổ chức tín dụng phi ngân hàng quy định tại điểm i (ii) khoản 3 Điều 14 Thông tư số 30/2015/TT-NHNN đã được Đại hội thành lập, Hội đồng quản trị thông qua;  + Báo cáo của cổ đông sáng lập là ngân hàng thương mại Việt Nam, doanh nghiệp Việt Nam về việc tuân thủ các quy định tại khoản 4 Điều 11 Thông tư số 30/2015/TT-NHNN từ thời điểm nộp hồ sơ đề nghị cấp Giấy phép đến thời điểm nộp hồ sơ bổ sung để được xem xét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 Hoàn Kiếm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và hoạt động tổ chức tín dụng phi ngân hàng cổ phần.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47/2010/QH12</w:t>
            </w:r>
          </w:p>
        </w:tc>
        <w:tc>
          <w:p/>
          <w:p>
            <w:pPr>
              <w:spacing w:after="0" w:before="0" w:lineRule="auto" w:line="276"/>
              <w:jc w:val="left"/>
            </w:pPr>
            <w:r>
              <w:rPr>
                <w:rFonts w:ascii="Times New Roman" w:hAnsi="Times New Roman" w:cs="Times New Roman" w:eastAsia="Times New Roman"/>
                <w:b w:val="false"/>
                <w:sz w:val="26"/>
              </w:rPr>
              <w:t>Luật 47/2010/QH12</w:t>
            </w:r>
          </w:p>
        </w:tc>
        <w:tc>
          <w:p/>
          <w:p>
            <w:pPr>
              <w:spacing w:after="0" w:before="0" w:lineRule="auto" w:line="276"/>
              <w:jc w:val="left"/>
            </w:pPr>
            <w:r>
              <w:rPr>
                <w:rFonts w:ascii="Times New Roman" w:hAnsi="Times New Roman" w:cs="Times New Roman" w:eastAsia="Times New Roman"/>
                <w:b w:val="false"/>
                <w:sz w:val="26"/>
              </w:rPr>
              <w:t>16-06-2010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150/2016/TT-BTC</w:t>
            </w:r>
          </w:p>
        </w:tc>
        <w:tc>
          <w:p/>
          <w:p>
            <w:pPr>
              <w:spacing w:after="0" w:before="0" w:lineRule="auto" w:line="276"/>
              <w:jc w:val="left"/>
            </w:pPr>
            <w:r>
              <w:rPr>
                <w:rFonts w:ascii="Times New Roman" w:hAnsi="Times New Roman" w:cs="Times New Roman" w:eastAsia="Times New Roman"/>
                <w:b w:val="false"/>
                <w:sz w:val="26"/>
              </w:rPr>
              <w:t>Thông tư 150/2016/TT-BTC</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30/2015/TT-NHNN</w:t>
            </w:r>
          </w:p>
        </w:tc>
        <w:tc>
          <w:p/>
          <w:p>
            <w:pPr>
              <w:spacing w:after="0" w:before="0" w:lineRule="auto" w:line="276"/>
              <w:jc w:val="left"/>
            </w:pPr>
            <w:r>
              <w:rPr>
                <w:rFonts w:ascii="Times New Roman" w:hAnsi="Times New Roman" w:cs="Times New Roman" w:eastAsia="Times New Roman"/>
                <w:b w:val="false"/>
                <w:sz w:val="26"/>
              </w:rPr>
              <w:t>Thông tư 30/2015/TT-NHNN</w:t>
            </w:r>
          </w:p>
        </w:tc>
        <w:tc>
          <w:p/>
          <w:p>
            <w:pPr>
              <w:spacing w:after="0" w:before="0" w:lineRule="auto" w:line="276"/>
              <w:jc w:val="left"/>
            </w:pPr>
            <w:r>
              <w:rPr>
                <w:rFonts w:ascii="Times New Roman" w:hAnsi="Times New Roman" w:cs="Times New Roman" w:eastAsia="Times New Roman"/>
                <w:b w:val="false"/>
                <w:sz w:val="26"/>
              </w:rPr>
              <w:t>25-12-2015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15/2016/TT-NHNN</w:t>
            </w:r>
          </w:p>
        </w:tc>
        <w:tc>
          <w:p/>
          <w:p>
            <w:pPr>
              <w:spacing w:after="0" w:before="0" w:lineRule="auto" w:line="276"/>
              <w:jc w:val="left"/>
            </w:pPr>
            <w:r>
              <w:rPr>
                <w:rFonts w:ascii="Times New Roman" w:hAnsi="Times New Roman" w:cs="Times New Roman" w:eastAsia="Times New Roman"/>
                <w:b w:val="false"/>
                <w:sz w:val="26"/>
              </w:rPr>
              <w:t>Thông tư 15/2016/TT-NHNN</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17/2017/QH14</w:t>
            </w:r>
          </w:p>
        </w:tc>
        <w:tc>
          <w:p/>
          <w:p>
            <w:pPr>
              <w:spacing w:after="0" w:before="0" w:lineRule="auto" w:line="276"/>
              <w:jc w:val="left"/>
            </w:pPr>
            <w:r>
              <w:rPr>
                <w:rFonts w:ascii="Times New Roman" w:hAnsi="Times New Roman" w:cs="Times New Roman" w:eastAsia="Times New Roman"/>
                <w:b w:val="false"/>
                <w:sz w:val="26"/>
              </w:rPr>
              <w:t>Luật 17/2017/QH14</w:t>
            </w:r>
          </w:p>
        </w:tc>
        <w:tc>
          <w:p/>
          <w:p>
            <w:pPr>
              <w:spacing w:after="0" w:before="0" w:lineRule="auto" w:line="276"/>
              <w:jc w:val="left"/>
            </w:pPr>
            <w:r>
              <w:rPr>
                <w:rFonts w:ascii="Times New Roman" w:hAnsi="Times New Roman" w:cs="Times New Roman" w:eastAsia="Times New Roman"/>
                <w:b w:val="false"/>
                <w:sz w:val="26"/>
              </w:rPr>
              <w:t>20-11-2017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17/2018/TT-NHNN</w:t>
            </w:r>
          </w:p>
        </w:tc>
        <w:tc>
          <w:p/>
          <w:p>
            <w:pPr>
              <w:spacing w:after="0" w:before="0" w:lineRule="auto" w:line="276"/>
              <w:jc w:val="left"/>
            </w:pPr>
            <w:r>
              <w:rPr>
                <w:rFonts w:ascii="Times New Roman" w:hAnsi="Times New Roman" w:cs="Times New Roman" w:eastAsia="Times New Roman"/>
                <w:b w:val="false"/>
                <w:sz w:val="26"/>
              </w:rPr>
              <w:t>Thông tư 17/2018/TT-NHNN</w:t>
            </w:r>
          </w:p>
        </w:tc>
        <w:tc>
          <w:p/>
          <w:p>
            <w:pPr>
              <w:spacing w:after="0" w:before="0" w:lineRule="auto" w:line="276"/>
              <w:jc w:val="left"/>
            </w:pPr>
            <w:r>
              <w:rPr>
                <w:rFonts w:ascii="Times New Roman" w:hAnsi="Times New Roman" w:cs="Times New Roman" w:eastAsia="Times New Roman"/>
                <w:b w:val="false"/>
                <w:sz w:val="26"/>
              </w:rPr>
              <w:t>14-08-2018</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01/2019/TT-NHNN</w:t>
            </w:r>
          </w:p>
        </w:tc>
        <w:tc>
          <w:p/>
          <w:p>
            <w:pPr>
              <w:spacing w:after="0" w:before="0" w:lineRule="auto" w:line="276"/>
              <w:jc w:val="left"/>
            </w:pPr>
            <w:r>
              <w:rPr>
                <w:rFonts w:ascii="Times New Roman" w:hAnsi="Times New Roman" w:cs="Times New Roman" w:eastAsia="Times New Roman"/>
                <w:b w:val="false"/>
                <w:sz w:val="26"/>
              </w:rPr>
              <w:t>Thông tư 01/2019/TT-NHNN</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05/2023/TT-NHNN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30/2015/TT-NHNN ngày 25/12/2015 của Thống đốc Ngân hàng Nhà nước Việt Nam quy định về việc cấp giấy phép, tổ chức và hoạt động của tổ chức tín dụng phi ngân hàng</w:t>
            </w:r>
          </w:p>
        </w:tc>
        <w:tc>
          <w:p/>
          <w:p>
            <w:pPr>
              <w:spacing w:after="0" w:before="0" w:lineRule="auto" w:line="276"/>
              <w:jc w:val="left"/>
            </w:pPr>
            <w:r>
              <w:rPr>
                <w:rFonts w:ascii="Times New Roman" w:hAnsi="Times New Roman" w:cs="Times New Roman" w:eastAsia="Times New Roman"/>
                <w:b w:val="false"/>
                <w:sz w:val="26"/>
              </w:rPr>
              <w:t>22-06-2023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vốn điều lệ, vốn được cấp tối thiểu bằng mức vốn pháp định;
+ Người quản lý, người điều hành, thành viên Ban kiểm soát có đủ các tiêu chuẩn, điều kiện theo quy định tại Điều 50 của Luật các tổ chức tín dụng;
+ Có Điều lệ phù hợp với quy định của Luật các tổ chức tín dụng và các quy định khác của pháp luật có liên quan; 
+ Có Đề án thành lập, phương án kinh doanh khả thi, không gây ảnh hưởng đến sự an toàn, ổn định của hệ thống tổ chức tín dụng; không tạo ra sự độc quyền hoặc hạn chế cạnh tranh hoặc cạnh tranh không lành mạnh trong hệ thống tổ chức tín dụng.
+ Điều kiện đối với cổ đông sáng lập:
a) Không phải là cổ đông chiến lược, cổ đông sáng lập, chủ sở hữu, thành viên sáng lập của tổ chức tín dụng khác được thành lập và hoạt động tại Việt Nam;
b) Không được dùng vốn huy động, vốn vay của tổ chức, cá nhân khác để góp vốn;
 c) Ngoài các điều kiện quy định tại điểm a, b nêu trên, cổ đông sáng lập là cá nhân phải đáp ứng điều kiện sau đây:
(i) Mang quốc tịch Việt Nam;
(ii) Không thuộc những đối tượng bị cấm thành lập doanh nghiệp theo quy định của Luật Doanh nghiệp, Luật Cán bộ, công chức;
d) Ngoài các điều kiện quy định tại điểm a, b nêu trên, cổ đông sáng lập là tổ chức phải đáp ứng điều kiện sau đây:
(i) Được thành lập theo pháp luật Việt Nam;
(ii) Kinh doanh có lãi trong 03 năm tài chính liền kề trước năm nộp hồ sơ đề nghị cấp Giấy phép và đến thời điểm nộp hồ sơ bổ sung để được xem xét cấp Giấy phép;
(iii) Thực hiện đầy đủ các nghĩa vụ về thuế và bảo hiểm xã hội theo quy định của pháp luật đến thời điểm nộp hồ sơ đề nghị cấp Giấy phép;
(iv) Đối với tổ chức là doanh nghiệp Việt Nam (trừ ngân hàng thương mại Việt Nam):
- Có vốn chủ sở hữu tối thiểu 500 tỷ đồng, tổng tài sản tối thiểu 1.000 tỷ đồng trong 03 năm tài chính liền kề trước năm nộp hồ sơ đề nghị cấp Giấy phép. Trường hợp doanh nghiệp hoạt động trong ngành nghề kinh doanh có yêu cầu mức vốn pháp định, phải đảm bảo vốn chủ sở hữu theo báo cáo tài chính đã được kiểm toán của năm liền kề trước thời điểm nộp hồ sơ đề nghị cấp Giấy phép trừ đi vốn pháp định tối thiểu bằng số vốn cam kết góp;
- Trường hợp doanh nghiệp được cấp Giấy phép thành lập và hoạt động trong lĩnh vực chứng khoán, bảo hiểm, phải tuân thủ việc góp vốn theo các quy định của pháp luật có liên quan;
(v) Đối với ngân hàng thương mại Việt Nam:
- Có tổng tài sản tối thiểu 100.000 tỷ đồng, tuân thủ đầy đủ các quy định về quản trị rủi ro và trích lập dự phòng đầy đủ theo quy định tại thời điểm nộp hồ sơ đề nghị cấp Giấy phép và đến thời điểm nộp hồ sơ bổ sung để được xem xét cấp Giấy phép;
- Không vi phạm các giới hạn, tỷ lệ bảo đảm an toàn trong hoạt động theo quy định của Ngân hàng Nhà nước trong năm liền kề trước năm nộp hồ sơ đề nghị cấp Giấy phép và đến thời điểm nộp hồ sơ bổ sung để được xem xét cấp Giấy phép;
- Đảm bảo tỷ lệ an toàn vốn tối thiểu sau khi góp vốn thành lập tổ chức tín dụng phi ngân hàng;
- Không bị xử phạt vi phạm hành chính trong lĩnh vực tiền tệ và hoạt động ngân hàng trong 02 năm liền kề trước năm nộp hồ sơ đề nghị cấp Giấy phép và đến thời điểm nộp hồ sơ đề nghị cấp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Hồ sơ đề nghị cấp Giấy phép tổ chức tín dụng phi ngân hàng trong nước được lập 01 bộ gốc bằng tiếng Việt.</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2026-05-28T18:03:50Z</dcterms:created>
  <dc:creator>Apache POI</dc:creator>
</cp:coreProperties>
</file>