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2.001624.000.00.00.H36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buôn rượu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Doanh nghiệp bán buôn rượu công nghiệp trên địa bàn tỉnh, thành phố trực thuộc trung ương nộp 01 bộ hồ sơ đề nghị cấp Giấy phép bán buôn rượu trên địa bàn tỉnh, thành phố trực thuộc trung ương trực tiếp hoặc qua đường bưu điện hoặc trực tuyến (nếu đủ điều kiện áp dụng) cho Sở Công Thương</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Sở Công Thương xem xét, thẩm định và cấp giấy phép cho thương nhân. Trường hợp từ chối cấp phải trả lời bằng văn bản và nêu rõ lý do. Trường hợp chưa đủ hồ sơ hợp lệ, trong vòng 03 ngày, làm việc kể từ ngày tiếp nhận hồ sơ, cơ quan cấp giấy phép phải có văn bản yêu cầu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 Phí thẩm định doanh nghiệp: - Tại địa bàn thành phố: 1.200.000 đồng/lần thẩm định; - Tại địa bàn các huyện: 600.000 đồng/lần thẩm định; Đồng</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tỉnh, 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Phí : * Phí thẩm định doanh nghiệp: - Tại địa bàn thành phố: 1.200.000 đồng/lần thẩm định; - Tại địa bàn các huyện: 600.000 đồng/lần thẩm định; Đồng</w:t>
            </w:r>
          </w:p>
        </w:tc>
        <w:tc>
          <w:p/>
          <w:p>
            <w:pPr>
              <w:spacing w:after="0" w:before="0" w:lineRule="auto" w:line="276"/>
              <w:jc w:val="left"/>
            </w:pPr>
            <w:r>
              <w:rPr>
                <w:rFonts w:ascii="Times New Roman" w:hAnsi="Times New Roman" w:cs="Times New Roman" w:eastAsia="Times New Roman"/>
                <w:b w:val="false"/>
                <w:sz w:val="26"/>
              </w:rPr>
              <w:t>Mức độ 3, nộp trực tuyến trên hệ thống dịch vụ công trực tuyến, 12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Phí : * Phí thẩm định doanh nghiệp: - Tại địa bàn thành phố: 1.200.000 đồng/lần thẩm định; - Tại địa bàn các huyện: 600.000 đồng/lần thẩm định; Đồng</w:t>
            </w:r>
          </w:p>
        </w:tc>
        <w:tc>
          <w:p/>
          <w:p>
            <w:pPr>
              <w:spacing w:after="0" w:before="0" w:lineRule="auto" w:line="276"/>
              <w:jc w:val="left"/>
            </w:pPr>
            <w:r>
              <w:rPr>
                <w:rFonts w:ascii="Times New Roman" w:hAnsi="Times New Roman" w:cs="Times New Roman" w:eastAsia="Times New Roman"/>
                <w:b w:val="false"/>
                <w:sz w:val="26"/>
              </w:rPr>
              <w:t>Nộp qua Bưu điện, 12 ngày làm việc kể từ ngày nhận đủ hồ sơ hợp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buôn rượu theo Mẫu số 01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về hệ thống bán buôn rượu gồm một trong hai loại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hợp đồng nguyên tắc, thư xác nhận hoặc bản cam kết tham gia hệ thống phân phối rượu kèm bản sao Giấy phép bán lẻ rượu của thương nhân dự kiến tham gia hệ thống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hoạt động chi nhánh của doanh nghiệp hoặc Giấy chứng nhận đăng ký địa điểm kinh doanh của doanh nghiệp để kinh doanh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liên quan đến nhà cung cấp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các văn bản giới thiệu hoặc hợp đồng nguyên tắc của thương nhân sản xuất trong nước, thương nhân phân phối hoặc thương nhân bán buôn khác, trong đó ghi rõ các loại rượu dự kiến kinh doanh phù hợp với hoạt động của thương nhân sản xuất, thương nhân phân phối hoặc thương nhân bán buôn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phép sản xuất rượu, Giấy phép phân phối hoặc Giấy phép bán buôn rượu của các nhà cung cấp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168/2016/TT-BTC </w:t>
            </w:r>
          </w:p>
        </w:tc>
        <w:tc>
          <w:p/>
          <w:p>
            <w:pPr>
              <w:spacing w:after="0" w:before="0" w:lineRule="auto" w:line="276"/>
              <w:jc w:val="left"/>
            </w:pPr>
            <w:r>
              <w:rPr>
                <w:rFonts w:ascii="Times New Roman" w:hAnsi="Times New Roman" w:cs="Times New Roman" w:eastAsia="Times New Roman"/>
                <w:b w:val="false"/>
                <w:sz w:val="26"/>
              </w:rPr>
              <w:t>Thông tư 168/2016/TT-BTC</w:t>
            </w:r>
          </w:p>
        </w:tc>
        <w:tc>
          <w:p/>
          <w:p>
            <w:pPr>
              <w:spacing w:after="0" w:before="0" w:lineRule="auto" w:line="276"/>
              <w:jc w:val="left"/>
            </w:pPr>
            <w:r>
              <w:rPr>
                <w:rFonts w:ascii="Times New Roman" w:hAnsi="Times New Roman" w:cs="Times New Roman" w:eastAsia="Times New Roman"/>
                <w:b w:val="false"/>
                <w:sz w:val="26"/>
              </w:rPr>
              <w:t>26-10-2016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b) Có hệ thống bán buôn rượu trên địa bàn tỉnh, thành phố trực thuộc trung ương, nơi doanh nghiệp đặt trụ sở chính với ít nhất 01 thương nhân bán lẻ rượu. Trường hợp doanh nghiệp có thành lập chi nhánh hoặc địa điểm kinh doanh ngoài trụ sở chính để kinh doanh rượu thì không cần có xác nhận của thương nhân bán lẻ rượu.
c) Có văn bản giới thiệu hoặc hợp đồng nguyên tắc của thương nhân sản xuất rượu, thương nhân phân phối rượu hoặc thương nhân bán buôn rượu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2026-05-19T11:46:30Z</dcterms:created>
  <dc:creator>Apache POI</dc:creator>
</cp:coreProperties>
</file>