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buôn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buôn sản phẩm thuốc lá gửi 01 bộ hồ sơ về Sở Công Thương.</w:t>
      </w:r>
    </w:p>
    <w:p>
      <w:pPr>
        <w:spacing w:after="0" w:before="0" w:lineRule="auto" w:line="276"/>
        <w:jc w:val="both"/>
      </w:pPr>
      <w:r>
        <w:rPr>
          <w:rFonts w:ascii="Times New Roman" w:hAnsi="Times New Roman" w:cs="Times New Roman" w:eastAsia="Times New Roman"/>
          <w:b w:val="false"/>
          <w:sz w:val="26"/>
        </w:rPr>
        <w:t>Sở Công Thương kiểm tra và tiếp nhận hồ sơ của thương nhân</w:t>
      </w:r>
    </w:p>
    <w:p>
      <w:pPr>
        <w:spacing w:after="0" w:before="0" w:lineRule="auto" w:line="276"/>
        <w:jc w:val="both"/>
      </w:pPr>
      <w:r>
        <w:rPr>
          <w:rFonts w:ascii="Times New Roman" w:hAnsi="Times New Roman" w:cs="Times New Roman" w:eastAsia="Times New Roman"/>
          <w:b w:val="false"/>
          <w:sz w:val="26"/>
        </w:rPr>
        <w:t>Sở Công Thương tiến hành thẩm định hồ sơ và các điều kiện cần thiết để cấp phép hoặc từ chối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 Tại thành phố Đà Lạt và Bảo Lộc: 1.200.000 đồng/lần/điểm kinh doanh; - Tại các các huyện khác: 600.000 đồng/lần/điểm kinh doanh. </w:t>
            </w:r>
          </w:p>
        </w:tc>
        <w:tc>
          <w:p/>
          <w:p>
            <w:pPr>
              <w:spacing w:after="0" w:before="0" w:lineRule="auto" w:line="276"/>
              <w:jc w:val="left"/>
            </w:pPr>
            <w:r>
              <w:rPr>
                <w:rFonts w:ascii="Times New Roman" w:hAnsi="Times New Roman" w:cs="Times New Roman" w:eastAsia="Times New Roman"/>
                <w:b w:val="false"/>
                <w:sz w:val="26"/>
              </w:rPr>
              <w:t>Trong thời hạn 12 ngày làm việc kể từ ngày nhận đủ hồ sơ hợp lệ, Sở Công Thương xem xét và cấp giấy phép bán buôn sản phẩm thuốc lá. Trường hợp thương nhân không đáp ứng được điều kiện theo quy định, Sở Công Thương sẽ có văn bản trả lời từ chối cấp phép và nêu rõ lý do; 
- Trường hợp chưa đủ hồ sơ hợp lệ, trong vòng 07 ngày làm việc kể từ ngày tiếp nhận hồ sơ của thương nhân, Sở Công Thương có văn bản yêu cầu thương nhân bổ sung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Tại thành phố Đà Lạt và Bảo Lộc: 1.200.000 đồng/lần/điểm kinh doanh; - Tại các các huyện khác: 600.000 đồng/lần/điểm kinh doanh. Đồng</w:t>
            </w:r>
          </w:p>
        </w:tc>
        <w:tc>
          <w:p/>
          <w:p>
            <w:pPr>
              <w:spacing w:after="0" w:before="0" w:lineRule="auto" w:line="276"/>
              <w:jc w:val="left"/>
            </w:pPr>
            <w:r>
              <w:rPr>
                <w:rFonts w:ascii="Times New Roman" w:hAnsi="Times New Roman" w:cs="Times New Roman" w:eastAsia="Times New Roman"/>
                <w:b w:val="false"/>
                <w:sz w:val="26"/>
              </w:rPr>
              <w:t>Mức độ 3,Nộp trực tuyến trên hệ thống dịch vụ công. Trong thời hạn 12 ngày làm việc kể từ ngày nhận đủ hồ sơ hợp lệ, Sở Công Thương xem xét và cấp giấy phép bán buôn sản phẩm thuốc lá. Trường hợp thương nhân không đáp ứng được điều kiện theo quy định, Sở Công Thương sẽ có văn bản trả lời từ chối cấp phép và nêu rõ lý do; 
- Trường hợp chưa đủ hồ sơ hợp lệ, trong vòng 07 ngày làm việc kể từ ngày tiếp nhận hồ sơ của thương nhân, Sở Công Thương có văn bản yêu cầu thương nhân bổ sung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 Tại thành phố Đà Lạt và Bảo Lộc: 1.200.000 đồng/lần/điểm kinh doanh; - Tại các các huyện khác: 600.000 đồng/lần/điểm kinh doanh. </w:t>
            </w:r>
          </w:p>
        </w:tc>
        <w:tc>
          <w:p/>
          <w:p>
            <w:pPr>
              <w:spacing w:after="0" w:before="0" w:lineRule="auto" w:line="276"/>
              <w:jc w:val="left"/>
            </w:pPr>
            <w:r>
              <w:rPr>
                <w:rFonts w:ascii="Times New Roman" w:hAnsi="Times New Roman" w:cs="Times New Roman" w:eastAsia="Times New Roman"/>
                <w:b w:val="false"/>
                <w:sz w:val="26"/>
              </w:rPr>
              <w:t>Trong thời hạn 12 ngày làm việc kể từ ngày nhận đủ hồ sơ hợp lệ, Sở Công Thương xem xét và cấp giấy phép bán buôn sản phẩm thuốc lá. Trường hợp thương nhân không đáp ứng được điều kiện theo quy định, Sở Công Thương sẽ có văn bản trả lời từ chối cấp phép và nêu rõ lý do; 
- Trường hợp chưa đủ hồ sơ hợp lệ, trong vòng 07 ngày làm việc kể từ ngày tiếp nhận hồ sơ của thương nhân, Sở Công Thương có văn bản yêu cầu thương nhân bổ sung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buôn sản phẩm thuốc lá (Bản chính - theo mẫu Phụ lục 21 Thông tư số 57/2018/TT-BCT);</w:t>
            </w:r>
          </w:p>
        </w:tc>
        <w:tc>
          <w:p/>
          <w:p>
            <w:pPr>
              <w:spacing w:after="0" w:before="0" w:lineRule="auto" w:line="276"/>
              <w:jc w:val="left"/>
            </w:pPr>
            <w:r>
              <w:rPr>
                <w:rFonts w:ascii="Times New Roman" w:hAnsi="Times New Roman" w:cs="Times New Roman" w:eastAsia="Times New Roman"/>
                <w:b w:val="false"/>
                <w:sz w:val="26"/>
              </w:rPr>
              <w:t>Phụ lục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giới thiệu của Nhà cung cấp sản phẩm thuốc lá hoặc các thương nhân phân phối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danh sách thương nhân, bản sao Giấy chứng nhận đăng ký doanh nghiệp hoặc Giấy chứng nhận đăng ký kinh doanh và Giấy chứng nhận mã số thuế, Giấy phép kinh doanh sản phẩm thuốc lá (nếu đã kinh doanh) của các thương nhân đã hoặc sẽ thuộc hệ thống phân phối sản phẩm thuốc lá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Thương nhân bán buôn sản phẩm thuốc lá đề nghị cấp Giấy phép bán buôn sản phẩm thuốc lá lập 02 bộ hồ sơ theo quy định, 01 bộ gửi Sở Công Thương, thương nhân lưu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
b) Địa điểm kinh doanh không vi phạm quy định về địa điểm không được bán thuốc lá theo quy định tại Khoản 2 Điều 25 (Bán thuốc lá) Luật Phòng, chống tác hại của thuốc lá năm 2012; 
c) Có hệ thống bán buôn sản phẩm thuốc lá trên địa bàn tỉnh nơi thương nhân đặt trụ sở chính (tối thiểu phải từ 02 thương nhân bán lẻ sản phẩm thuốc lá trở lên);
d) Có văn bản giới thiệu của Nhà cung cấp sản phẩm thuốc lá hoặc của các thương nhân phân phối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2026-05-18T11:50:08Z</dcterms:created>
  <dc:creator>Apache POI</dc:creator>
</cp:coreProperties>
</file>