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quân nhân, người làm công tác cơ yếu hưởng lương như đối với quân nhân, công an nhân dân nhập ngũ sau ngày 30/4/1975, trực tiếp tham gia chiến tranh bảo vệ Tổ quốc và làm nhiệm vụ quốc tế có từ đủ 20 năm trở lên phục vụ trong quân đội, cơ yếu đã phục viên, xuất ngũ, thôi việc (đối tượng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nộp hồ sơ theo quy định cho Ủy ban nhân dân cấp xã nơi thường trú theo từng đợt (mỗi đợt vào ngày đầu tuần trong tuần đầu, tháng đầu của mỗi quý).
Bước 2: Ủy ban nhân dân cấp xã tổng hợp, lập hồ sơ báo cáo Ban Chỉ huy quân sự cấp huyện;
Bước 3: Ban Chỉ huy quân sự cấp huyện hoàn thành việc xét duyệt, tổng hợp báo cáo Bộ Chỉ huy quân sự cấp tỉnh.
Bước 4: Bộ Chỉ huy quân sự cấp tỉnh hoàn thành việc xét duyệt, báo cáo Bộ Tư lệnh quân khu; Bộ Tư lệnh Thủ đô Hà Nội tiếp nhận hồ sơ do Ban Chỉ huy quân sự cấp huyện báo cáo (qua Cục Chính trị).
Bước 5: Bộ Tư lệnh quân khu, Bộ Tư lệnh Thủ đô Hà Nội hoàn thành việc thẩm định, hoàn thiện hồ sơ chuyển Bảo hiểm xã hội Bộ Quốc phòng;
Bước 6: Bảo hiểm xã hội Bộ Quốc phòng tiến hành xét duyệt, ra quyết định hưởng chế độ trợ cấp một lần cho các đối tượng, chuyển hồ sơ đến Bảo hiểm xã hội Việt Nam và các cơ quan, đơn vị, đối tượng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61 ngày làm việc kể từ ngày nhận đủ hồ sơ hợp lệ, cụ thể:
- UBND cấp xã: Không quá 07 ngày làm việc;
- Ban Chỉ huy quân sự cấp huyện: Không quá 07 ngày làm việc;
- Bộ chỉ huy quân sự cấp tỉnh: Không quá 07 ngày làm việc;
- Bộ Tư lệnh quân khu, BTL Thủ đô Hà Nội: Không quá 10 ngày làm việc;
- Bảo hiểm xã hội Bộ Quốc phòng: Không quá 30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61 ngày làm việc kể từ ngày nhận đủ hồ sơ hợp lệ, cụ thể:
- UBND cấp xã: Không quá 07 ngày làm việc;
- Ban Chỉ huy quân sự cấp huyện: Không quá 07 ngày làm việc;
Địa chỉ trực tuyến:https://dichvucong.thanhhoa.gov.vn (một phần)
- Bộ chỉ huy quân sự cấp tỉnh: Không quá 07 ngày làm việc;
- Bộ Tư lệnh quân khu, BTL Thủ đô Hà Nội: Không quá 10 ngày làm việc;
- Bảo hiểm xã hội Bộ Quốc phòng: Không quá 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61 ngày làm việc kể từ ngày nhận đủ hồ sơ hợp lệ, cụ thể:
- UBND cấp xã: Không quá 07 ngày làm việc;
- Ban Chỉ huy quân sự cấp huyện: Không quá 07 ngày làm việc;
- Bộ chỉ huy quân sự cấp tỉnh: Không quá 07 ngày làm việc;
- Bộ Tư lệnh quân khu, BTL Thủ đô Hà Nội: Không quá 10 ngày làm việc;
- Bảo hiểm xã hội Bộ Quốc phòng: Không quá 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hưởng chế độ một lần (bản chính, 01 bản)</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Một hoặc một số giấy tờ làm căn cứ xét duyệt, đủ yếu tố chứng minh đúng đối tượng, điều kiện hưởng chế độ và thời gian công tác của đối tượng (bản chính hoặc bản sao của cấp có thẩm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phục viên, xuất ngũ, thôi việc, chuyển ngành, chuyển sang công tác khác trong tổ chức cơ yếu hoặc chuyển sang công nhân viên chức quốc phòng,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lý lịch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 sổ bảo hiểm xã hội; quyết định cấp giấy chứng nhận thương binh và trợ cấp thương tật hoặc bản trích lục hồ sơ thương tật (đối với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quân nhân phục viên, xuất ngũ, chuyển ngành, thôi việc do thủ trưởng cơ quan, đơn vị từ cấp Trung đoàn và tương tương trở lên theo phân cấp quản lý đối tượng trước khi phục viên, xuất ngũ hoặc cử đi lao động hợp tác quốc tế, chuyển ngành hoặc chuyển sang công nhân viên chức quốc phòng, ký, đóng dấu, kèm theo bản photocoppy hồ sơ của đối tượng hoặc danh sách đăng ký, quản lý đối tượng mà cơ quan, đơn vị đang lưu trữ để làm căn cứ xác nhận; đối với các đối tượng còn giấy tờ, hồ sơ gốc tại đơn vị cũ thì đơn vị cũ thực hiện việc cấp lại cho đối tượng theo quy định của pháp luật về công chứng, chứng thực hiện hành. Trường hợp cơ quan, đơn vị cũ đã sáp nhập hoặc giải thể thì do cơ quan, đơn vị mới được thành lập sau sáp nhập hoặc cấp trên trực tiếp của cơ quan, đơn vị đã giải thể xác nhận,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tử hoặc giấy báo tử (bản chính hoặc bản sao,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(nếu có; bản chính)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đối tượng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23/2012/NĐ-CP</w:t>
            </w:r>
          </w:p>
        </w:tc>
        <w:tc>
          <w:p/>
          <w:p>
            <w:pPr>
              <w:spacing w:after="0" w:before="0" w:lineRule="auto" w:line="276"/>
              <w:jc w:val="left"/>
            </w:pPr>
            <w:r>
              <w:rPr>
                <w:rFonts w:ascii="Times New Roman" w:hAnsi="Times New Roman" w:cs="Times New Roman" w:eastAsia="Times New Roman"/>
                <w:b w:val="false"/>
                <w:sz w:val="26"/>
              </w:rPr>
              <w:t>Quy định một số chế độ đối với đối tượng tham gia chiến tranh bảo vệ Tổ quốc, làm nhiệm vụ quốc tế ở Căm-pu-chi-a, giúp bạn Lào sau  ngày 30 tháng 4 năm 1975 có từ đủ 20 năm trở lên phục vụ trong quân đội, công an đã phục viên, xuất ngũ, thôi việc</w:t>
            </w:r>
          </w:p>
        </w:tc>
        <w:tc>
          <w:p/>
          <w:p>
            <w:pPr>
              <w:spacing w:after="0" w:before="0" w:lineRule="auto" w:line="276"/>
              <w:jc w:val="left"/>
            </w:pPr>
            <w:r>
              <w:rPr>
                <w:rFonts w:ascii="Times New Roman" w:hAnsi="Times New Roman" w:cs="Times New Roman" w:eastAsia="Times New Roman"/>
                <w:b w:val="false"/>
                <w:sz w:val="26"/>
              </w:rPr>
              <w:t>03-04-2012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102/2012/TTLT-BQP-BLĐTBXH-BTC</w:t>
            </w:r>
          </w:p>
        </w:tc>
        <w:tc>
          <w:p/>
          <w:p>
            <w:pPr>
              <w:spacing w:after="0" w:before="0" w:lineRule="auto" w:line="276"/>
              <w:jc w:val="left"/>
            </w:pPr>
            <w:r>
              <w:rPr>
                <w:rFonts w:ascii="Times New Roman" w:hAnsi="Times New Roman" w:cs="Times New Roman" w:eastAsia="Times New Roman"/>
                <w:b w:val="false"/>
                <w:sz w:val="26"/>
              </w:rPr>
              <w:t>Hướng dẫn thực hiện chế độ đối với quân nhân, người làm công tác cơ yếu hưởng lương như đối với quân nhân, công an nhân dân tham gia chiến tranh bảo vệ Tổ quốc, làm nhiệm vụ quốc tế ở Căm-pu-chi-a, giúp bạn Lào sau ngày 30 tháng 4 năm 1975 có từ đủ 20 năm trở lên phục vụ trong quân đội, cơ yếu đã phục viên, xuất ngũ, thôi việc</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hưởng lương như đối với quân nhân, công an nhân dân nhập ngũ, tuyển dụng sau ngày 30/4/1975, trực tiếp tham gia chiến tranh bảo vệ Tổ quốc và làm nhiệm vụ quốc tế, có từ đủ 20 năm trở lên phục vụ trong quân đội, cơ yếu đã phục viên, xuất ngũ, thôi việc (đối tượng đã từ trần).
-	Không thuộc diện hưởng chế độ hưu trí, mất sức lao động, bệnh binh hàng tháng.
-	Không thuộc các trường hợp sau: Đào ngũ, đầu hàng, phản bội, chiêu hồi; bị tước danh hiệu quân nhân, bị buộc thôi việc; từ trần khi thi hành án tù hoặc từ trần khi ở tại nước ngoài do đi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2026-05-20T08:03:44Z</dcterms:created>
  <dc:creator>Apache POI</dc:creator>
</cp:coreProperties>
</file>