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4547/QĐ-NHCS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mở tài khoản tiền gửi đối với người vay vốn để mua, thuê mua nhà ở xã hội; xây dựng mới hoặc cải tạo, sửa chữa nhà để ở theo Nghị định số 100/2015/NĐ-CP ngày 20/10/2015 của Chính phủ về phát triển và quản lý nhà ở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Khách hàng
- Lập Giấy đề nghị mở mã khách hàng và tài khoản tiền gửi (mẫu số 02/TGKH) và nộp các giấy tờ chứng minh nhân thân chủ tài khoản cho NHCSXH nơi thực hiện thủ tục;
- Trường hợp sửa đổi thông tin tài khoản tiền gửi tiết kiệm, khách hàng lập Giấy đề nghị sửa đổi thông tin khách hàng (mẫu số 07/TGKH).
</w:t>
      </w:r>
    </w:p>
    <w:p>
      <w:pPr>
        <w:spacing w:after="0" w:before="0" w:lineRule="auto" w:line="276"/>
        <w:jc w:val="both"/>
      </w:pPr>
      <w:r>
        <w:rPr>
          <w:rFonts w:ascii="Times New Roman" w:hAnsi="Times New Roman" w:cs="Times New Roman" w:eastAsia="Times New Roman"/>
          <w:b w:val="false"/>
          <w:sz w:val="26"/>
        </w:rPr>
        <w:t>Bước 2. NHCSXH nơi thực hiện thủ tục 
- Kiểm tra, đối chiếu các giấy tờ và yếu tố đã kê khai trong hồ sơ mở tài khoản tiền gửi; nếu đầy đủ, hợp pháp, hợp lệ theo quy định thì tiến hành mở tài khoản tiền gửi cho khách hàng;  
- Sau khi hoàn thành việc mở tài khoản, Ngân hàng giao khách hàng 01 (một) bản Giấy đề nghị mở mã khách hàng và tài khoản tiền gửi (mẫu số 02/TGKH).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NHCSXH nơi thực hiện thủ tục.
Ngay trong ngày làm việc, sau khi NHCSXH nơi thực hiện thủ tục nhận được hồ sơ mở tài khoản tiền gửi của khách hàng.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mở mã khách hàng và tài khoản tiền gửi (mẫu số 02/TGKH): 02 bản chính (01 bản lưu NHCSXH nơi thực hiện thủ tục, 01 bản lưu khách hàng);</w:t>
            </w:r>
          </w:p>
        </w:tc>
        <w:tc>
          <w:p/>
          <w:p>
            <w:pPr>
              <w:spacing w:after="0" w:before="0" w:lineRule="auto" w:line="276"/>
              <w:jc w:val="left"/>
            </w:pPr>
            <w:r>
              <w:rPr>
                <w:rFonts w:ascii="Times New Roman" w:hAnsi="Times New Roman" w:cs="Times New Roman" w:eastAsia="Times New Roman"/>
                <w:b w:val="false"/>
                <w:sz w:val="26"/>
              </w:rPr>
              <w:t>02-TG-KH (CV-1513-QĐ-NHCS ngày 29-5-2015).doc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sửa đổi thông tin khách hàng (mẫu số 07/TGKH) (trường hợp đề nghị sửa đổi thông tin): 01 bản chính (Lưu NHCSXH nơi thực hiện thủ tục);</w:t>
            </w:r>
          </w:p>
        </w:tc>
        <w:tc>
          <w:p/>
          <w:p>
            <w:pPr>
              <w:spacing w:after="0" w:before="0" w:lineRule="auto" w:line="276"/>
              <w:jc w:val="left"/>
            </w:pPr>
            <w:r>
              <w:rPr>
                <w:rFonts w:ascii="Times New Roman" w:hAnsi="Times New Roman" w:cs="Times New Roman" w:eastAsia="Times New Roman"/>
                <w:b w:val="false"/>
                <w:sz w:val="26"/>
              </w:rPr>
              <w:t>07-TGKH (CV-1513-QĐ-NHCS ngày 29-5-2015).DOC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nhân thân chủ tài khoản (một trong các giấy tờ sau): Thẻ căn cước công dân, Giấy chứng minh nhân dân/hộ chiếu còn thời hạn hoặc các loại giấy tờ khác có giá trị tương đương như chứng minh quân nhân, Giấy chứng nhận công an nhân dân,...: 01 bản sao (Lưu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đề nghị mở mã khách hàng và tài khoản tiền gửi (mẫu số 02/TGKH)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100/2015/NĐ-CP</w:t>
            </w:r>
          </w:p>
        </w:tc>
        <w:tc>
          <w:p/>
          <w:p>
            <w:pPr>
              <w:spacing w:after="0" w:before="0" w:lineRule="auto" w:line="276"/>
              <w:jc w:val="left"/>
            </w:pPr>
            <w:r>
              <w:rPr>
                <w:rFonts w:ascii="Times New Roman" w:hAnsi="Times New Roman" w:cs="Times New Roman" w:eastAsia="Times New Roman"/>
                <w:b w:val="false"/>
                <w:sz w:val="26"/>
              </w:rPr>
              <w:t>Văn bản số 100/2015/NĐ-CP</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20/2016/TT-BXD</w:t>
            </w:r>
          </w:p>
        </w:tc>
        <w:tc>
          <w:p/>
          <w:p>
            <w:pPr>
              <w:spacing w:after="0" w:before="0" w:lineRule="auto" w:line="276"/>
              <w:jc w:val="left"/>
            </w:pPr>
            <w:r>
              <w:rPr>
                <w:rFonts w:ascii="Times New Roman" w:hAnsi="Times New Roman" w:cs="Times New Roman" w:eastAsia="Times New Roman"/>
                <w:b w:val="false"/>
                <w:sz w:val="26"/>
              </w:rPr>
              <w:t>Văn bản số 20/2016/TT-BXD</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2526/NHCS-TDSV</w:t>
            </w:r>
          </w:p>
        </w:tc>
        <w:tc>
          <w:p/>
          <w:p>
            <w:pPr>
              <w:spacing w:after="0" w:before="0" w:lineRule="auto" w:line="276"/>
              <w:jc w:val="left"/>
            </w:pPr>
            <w:r>
              <w:rPr>
                <w:rFonts w:ascii="Times New Roman" w:hAnsi="Times New Roman" w:cs="Times New Roman" w:eastAsia="Times New Roman"/>
                <w:b w:val="false"/>
                <w:sz w:val="26"/>
              </w:rPr>
              <w:t>Văn bản số 2526/NHCS-TDSV</w:t>
            </w:r>
          </w:p>
        </w:tc>
        <w:tc>
          <w:p/>
          <w:p>
            <w:pPr>
              <w:spacing w:after="0" w:before="0" w:lineRule="auto" w:line="276"/>
              <w:jc w:val="left"/>
            </w:pPr>
            <w:r>
              <w:rPr>
                <w:rFonts w:ascii="Times New Roman" w:hAnsi="Times New Roman" w:cs="Times New Roman" w:eastAsia="Times New Roman"/>
                <w:b w:val="false"/>
                <w:sz w:val="26"/>
              </w:rPr>
              <w:t>27-07-2016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101/2012/NĐ-CP</w:t>
            </w:r>
          </w:p>
        </w:tc>
        <w:tc>
          <w:p/>
          <w:p>
            <w:pPr>
              <w:spacing w:after="0" w:before="0" w:lineRule="auto" w:line="276"/>
              <w:jc w:val="left"/>
            </w:pPr>
            <w:r>
              <w:rPr>
                <w:rFonts w:ascii="Times New Roman" w:hAnsi="Times New Roman" w:cs="Times New Roman" w:eastAsia="Times New Roman"/>
                <w:b w:val="false"/>
                <w:sz w:val="26"/>
              </w:rPr>
              <w:t>Nghị định 101/2012/NĐ-CP</w:t>
            </w:r>
          </w:p>
        </w:tc>
        <w:tc>
          <w:p/>
          <w:p>
            <w:pPr>
              <w:spacing w:after="0" w:before="0" w:lineRule="auto" w:line="276"/>
              <w:jc w:val="left"/>
            </w:pPr>
            <w:r>
              <w:rPr>
                <w:rFonts w:ascii="Times New Roman" w:hAnsi="Times New Roman" w:cs="Times New Roman" w:eastAsia="Times New Roman"/>
                <w:b w:val="false"/>
                <w:sz w:val="26"/>
              </w:rPr>
              <w:t>22-11-2012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65/2014/QH13</w:t>
            </w:r>
          </w:p>
        </w:tc>
        <w:tc>
          <w:p/>
          <w:p>
            <w:pPr>
              <w:spacing w:after="0" w:before="0" w:lineRule="auto" w:line="276"/>
              <w:jc w:val="left"/>
            </w:pPr>
            <w:r>
              <w:rPr>
                <w:rFonts w:ascii="Times New Roman" w:hAnsi="Times New Roman" w:cs="Times New Roman" w:eastAsia="Times New Roman"/>
                <w:b w:val="false"/>
                <w:sz w:val="26"/>
              </w:rPr>
              <w:t>Luật 65/2014/QH13</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1513/QĐ-NHCS</w:t>
            </w:r>
          </w:p>
        </w:tc>
        <w:tc>
          <w:p/>
          <w:p>
            <w:pPr>
              <w:spacing w:after="0" w:before="0" w:lineRule="auto" w:line="276"/>
              <w:jc w:val="left"/>
            </w:pPr>
            <w:r>
              <w:rPr>
                <w:rFonts w:ascii="Times New Roman" w:hAnsi="Times New Roman" w:cs="Times New Roman" w:eastAsia="Times New Roman"/>
                <w:b w:val="false"/>
                <w:sz w:val="26"/>
              </w:rPr>
              <w:t>Văn bản số 1513/QĐ-NHCS</w:t>
            </w:r>
          </w:p>
        </w:tc>
        <w:tc>
          <w:p/>
          <w:p>
            <w:pPr>
              <w:spacing w:after="0" w:before="0" w:lineRule="auto" w:line="276"/>
              <w:jc w:val="left"/>
            </w:pPr>
            <w:r>
              <w:rPr>
                <w:rFonts w:ascii="Times New Roman" w:hAnsi="Times New Roman" w:cs="Times New Roman" w:eastAsia="Times New Roman"/>
                <w:b w:val="false"/>
                <w:sz w:val="26"/>
              </w:rPr>
              <w:t>29-05-2015</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Nghị định 99/2015/NĐ-CP</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Khách hàng thuộc đối tượng được vay vốn nhà ở xã hội theo quy định; 
- Khách hàng xuất trình bản chính hoặc bản sao được cấp từ sổ gốc các Giấy tờ chứng minh nhân thân chủ tài khoản còn thời hạn hiệu lực để Ngân hàng đối chiếu;
- Khách hàng chịu trách nhiệm về tính hợp pháp của các giấy tờ đã cung cấp cho NHCSXH nơi thực hiện thủ tục và các nội dung đã đăng ký trong hồ sơ mở tài khoản tiền gửi; thông báo ngay bằng văn bản với NHCSXH nếu có thay đổi về các nội dung trong hồ sơ mở tài khoản tiền gửi.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2026-05-13T15:03:35Z</dcterms:created>
  <dc:creator>Apache POI</dc:creator>
</cp:coreProperties>
</file>