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hàng tháng đối với quân nhân tham gia kháng chiến chống Mỹ cứu nước có từ đủ 15 năm đến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làm tờ khai theo mẫu quy định, nộp cho Uỷ ban nhân dân xã, phường và giấy tờ gốc hoặc giấy tờ được coi là giấy tờ gốc, hoặc giấy tờ liên quan; bản photo chứng minh thư nhân dân.</w:t>
      </w:r>
    </w:p>
    <w:p>
      <w:pPr>
        <w:spacing w:after="0" w:before="0" w:lineRule="auto" w:line="276"/>
        <w:jc w:val="both"/>
      </w:pPr>
      <w:r>
        <w:rPr>
          <w:rFonts w:ascii="Times New Roman" w:hAnsi="Times New Roman" w:cs="Times New Roman" w:eastAsia="Times New Roman"/>
          <w:b w:val="false"/>
          <w:sz w:val="26"/>
        </w:rPr>
        <w:t>Uỷ ban nhân dân xã, phường:
- Tiếp nhận hồ sơ của đối tượng đề nghị hưởng chế độ.
- Xét duyệt thành 02 đợt: Đợt 1 xét duyệt các đối tượng có giấy tờ gốc hoặc được coi là giấy tờ gốc; đợt 2 xét duyệt các đối tượng có các giấy tờ liên quan.
- Ban Chỉ huy quân sự xã, phường tổng hợp danh sách và hồ sơ, đề nghị Ban chấp hành Hội Cựu chiến binh họp xem xét, xác nhận đối tượng.
- Hội đồng chính sách xã, phường họp công khai xét duyệt đối với đối tượng do Ban chấp hành Hội Cựu chiến binh đã cho ý kiến bằng văn bản.
- Tổ chức niêm yết và thông báo danh sách đối tượng đã xét duyệt; sau 15 ngày, nếu không có ý kiến thắc mắc, khiếu kiện của nhân dân thì Uỷ ban nhân dân xã, phường tổng hợp, lập hồ sơ báo cáo Uỷ ban nhân dân huyện (quận) qua Ban Chỉ huy quân sự huyện (quận).</w:t>
      </w:r>
    </w:p>
    <w:p>
      <w:pPr>
        <w:spacing w:after="0" w:before="0" w:lineRule="auto" w:line="276"/>
        <w:jc w:val="both"/>
      </w:pPr>
      <w:r>
        <w:rPr>
          <w:rFonts w:ascii="Times New Roman" w:hAnsi="Times New Roman" w:cs="Times New Roman" w:eastAsia="Times New Roman"/>
          <w:b w:val="false"/>
          <w:sz w:val="26"/>
        </w:rPr>
        <w:t>Ban Chỉ huy quân sự huyện (quận):
- Tiếp nhận hồ sơ theo đề nghị của Uỷ ban nhân dân các xã, phường; lập danh sách đề nghị Phòng Lao động-Thương binh và Xã hội, Bảo hiểm xã hội huyện (quận) rà soát những đối tượng thuộc diện hưởng chế độ hưu trí, mất sức lao động, bệnh binh hàng tháng và các đối tượng khác thuộc diện không áp dụng.
- Tổ chức xét duyệt hồ sơ; tổng hợp kết quả, báo cáo Ban chỉ đạo huyện (quận).
- Tổng hợp hồ sơ; làm công văn, kèm theo danh sách có xác nhận của Uỷ ban nhân dân huyện (quận), báo cáo Bộ Chỉ huy quân sự tỉnh (thành phố).</w:t>
      </w:r>
    </w:p>
    <w:p>
      <w:pPr>
        <w:spacing w:after="0" w:before="0" w:lineRule="auto" w:line="276"/>
        <w:jc w:val="both"/>
      </w:pPr>
      <w:r>
        <w:rPr>
          <w:rFonts w:ascii="Times New Roman" w:hAnsi="Times New Roman" w:cs="Times New Roman" w:eastAsia="Times New Roman"/>
          <w:b w:val="false"/>
          <w:sz w:val="26"/>
        </w:rPr>
        <w:t>Bộ Chỉ huy quân sự tỉnh (thành phố):
- Tiếp nhận hồ sơ của Ban Chỉ huy quân sự huyện (quận); xét duyệt, tổng hợp báo cáo xin ý kiến Ban chỉ đạo và Uỷ ban nhân dân tỉnh (thành phố).
- Lập bản xét duyệt và đề nghị đối với từng trường hợp.
- Làm công văn, kèm theo danh sách và hồ sơ đối tượng đủ điều kiện hưởng chế độ báo cáo Quân khu (qua Phòng Chính sách).
- Bàn giao hồ sơ hưởng trợ cấp hàng tháng của đối tượng cho Sở Lao động-Thương binh và Xã hội tiếp nhận, chậm nhất không quá 45 ngày, kể từ ngày ký quyết định hưởng chế độ.
- Chuyển trả giấy tờ gốc cho đối tượng chậm nhất 30 ngày sau khi Sở Lao động-Thương binh và Xã hội tiếp nhận hồ sơ.
Đối với Bộ Tư lệnh Thủ đô Hà Nội, cơ quan Cục Chính trị thực hiện trách nhiệm tương tự Bộ Chỉ huy quân sự tỉnh (thành phố) trong việc chỉ đạo các đơn vị thuộc quyền và phối hợp với các cơ quan chức năng của thành phố Hà Nội.</w:t>
      </w:r>
    </w:p>
    <w:p>
      <w:pPr>
        <w:spacing w:after="0" w:before="0" w:lineRule="auto" w:line="276"/>
        <w:jc w:val="both"/>
      </w:pPr>
      <w:r>
        <w:rPr>
          <w:rFonts w:ascii="Times New Roman" w:hAnsi="Times New Roman" w:cs="Times New Roman" w:eastAsia="Times New Roman"/>
          <w:b w:val="false"/>
          <w:sz w:val="26"/>
        </w:rPr>
        <w:t>Bộ Tư lệnh các quân khu và Bộ Tư lệnh Thủ đô Hà Nội:
Chỉ đạo các cơ quan chức năng tổ chức xét duyệt; đề nghị Bộ Quốc phòng (qua Cục Chính sách-Tổng cục Chính trị).</w:t>
      </w:r>
    </w:p>
    <w:p>
      <w:pPr>
        <w:spacing w:after="0" w:before="0" w:lineRule="auto" w:line="276"/>
        <w:jc w:val="both"/>
      </w:pPr>
      <w:r>
        <w:rPr>
          <w:rFonts w:ascii="Times New Roman" w:hAnsi="Times New Roman" w:cs="Times New Roman" w:eastAsia="Times New Roman"/>
          <w:b w:val="false"/>
          <w:sz w:val="26"/>
        </w:rPr>
        <w:t>Cục Chính sách-Tổng cục Chính trị:
- Thẩm định, ra quyết định hưởng chế độ trợ cấp hàng tháng.
- Tổng hợp, báo cáo Thủ trưởng Tổng cục Chính trị đề nghị Bộ Tài chính bảo đảm kinh phí.
- Làm công văn giới thiệu, kèm hồ sơ chuyển về Bộ chỉ huy quân sự tỉnh (thành phố) bàn giao Sở Lao động-Thương binh và Xã hội tỉnh (thành phố) để chi trả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đến UBND xã (phường)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đối tượng;</w:t>
            </w:r>
          </w:p>
        </w:tc>
        <w:tc>
          <w:p/>
          <w:p>
            <w:pPr>
              <w:spacing w:after="0" w:before="0" w:lineRule="auto" w:line="276"/>
              <w:jc w:val="left"/>
            </w:pPr>
            <w:r>
              <w:rPr>
                <w:rFonts w:ascii="Times New Roman" w:hAnsi="Times New Roman" w:cs="Times New Roman" w:eastAsia="Times New Roman"/>
                <w:b w:val="false"/>
                <w:sz w:val="26"/>
              </w:rPr>
              <w:t>MU1A.docx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các giấy tờ gốc hoặc đuợc coi là giấy tờ gốc; hoặc giấy tờ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Uỷ ban nhân dân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hàng tháng;</w:t>
            </w:r>
          </w:p>
        </w:tc>
        <w:tc>
          <w:p/>
          <w:p>
            <w:pPr>
              <w:spacing w:after="0" w:before="0" w:lineRule="auto" w:line="276"/>
              <w:jc w:val="left"/>
            </w:pPr>
            <w:r>
              <w:rPr>
                <w:rFonts w:ascii="Times New Roman" w:hAnsi="Times New Roman" w:cs="Times New Roman" w:eastAsia="Times New Roman"/>
                <w:b w:val="false"/>
                <w:sz w:val="26"/>
              </w:rPr>
              <w:t>Mẫu 6a.docx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trong quân đội;</w:t>
            </w:r>
          </w:p>
        </w:tc>
        <w:tc>
          <w:p/>
          <w:p>
            <w:pPr>
              <w:spacing w:after="0" w:before="0" w:lineRule="auto" w:line="276"/>
              <w:jc w:val="left"/>
            </w:pPr>
            <w:r>
              <w:rPr>
                <w:rFonts w:ascii="Times New Roman" w:hAnsi="Times New Roman" w:cs="Times New Roman" w:eastAsia="Times New Roman"/>
                <w:b w:val="false"/>
                <w:sz w:val="26"/>
              </w:rPr>
              <w:t>Mẫu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giới thiệu chi trả trợ cấp hàng tháng.</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 Thương binh và Xã hội huyện, Công đoàn cơ quan BHXH Việt Nam</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trợ cấp hàng tháng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từ đủ 15 năm đến dưới 20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thực hiện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thực hiện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2026-05-23T19:31:48Z</dcterms:created>
  <dc:creator>Apache POI</dc:creator>
</cp:coreProperties>
</file>