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2.000503.000.00.00.H56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chế độ trợ cấp hàng tháng đối với quân nhân tham gia kháng chiến chống Mỹ cứu nước có từ đủ 15 năm đến dưới 20 năm công tác trong quân đội đã phục viên, xuất ngũ về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làm tờ khai theo mẫu quy định, nộp cho Ủy ban nhân dân xã, phường và giấy tờ gốc hoặc giấy tờ được coi là giấy tờ gốc hoặc giấy tờ liên quan; bản sao căn cước công dân/căn cước.
Bước 2: Ủy ban nhân dân xã, phường tiếp nhận hồ sơ của đối tượng đề nghị hưởng chế độ.
Xét duyệt thành 02 đợt: Đợt 1 xét duyệt các đối tượng có giấy tờ gốc hoặc được coi là giấy tờ gốc; đợt 2 xét duyệt các đối tượng có các giấy tờ liên quan.
Bước 3: Ban Chỉ huy quân sự xã, phường tổng hợp danh sách và hồ sơ, đề nghị Ban chấp hành Hội Cựu chiến binh họp xem xét, xác nhận đối tượng.
Bước 4: Hội đồng chính sách xã, phường họp công khai xét duyệt đối với đối tượng do Ban Chấp hành Hội Cựu chiến binh đã cho ý kiến bằng văn bản.
Bước 5: Tổ chức niêm yết và thông báo danh sách đối tượng đã xét duyệt; sau 15 ngày, nếu không có ý kiến thắc mắc, khiếu kiện của nhân dân thì Ủy ban nhân dân xã, phường tổng hợp, lập hồ sơ báo cáo Ủy ban nhân dân huyện (quận) qua Ban Chỉ huy quân sự huyện (quận).
Bước 6: Ban Chỉ huy quân sự huyện (quận) tiếp nhận hồ sơ theo đề nghị của Ủy ban nhân dân các xã, phường; lập danh sách đề nghị Phòng Lao động-Thương binh và Xã hội, Bảo hiểm xã hội huyện (quận) rà soát những đối tượng thuộc diện hưởng chế độ hưu trí, mất sức lao động, bệnh binh hàng tháng và các đối tượng khác thuộc diện không áp dụng. Tổ chức xét duyệt hồ sơ; tổng hợp kết quả, báo cáo Ban chỉ đạo huyện (quận).
Tổng hợp hồ sơ; làm công văn, kèm theo danh sách có xác nhận của Ủy ban nhân dân huyện (quận), báo cáo Bộ Chỉ huy quân sự tỉnh (thành phố).
Bước 7: Bộ Chỉ huy quân sự tỉnh (thành phố) tiếp nhận hồ sơ của Ban Chỉ huy quân sự huyện (quận); xét duyệt, tổng hợp báo cáo xin ý kiến Ban chỉ đạo và Ủy ban nhân dân tỉnh (thành phố).
Lập bản xét duyệt và đề nghị đối với từng trường hợp.
Làm công văn, kèm theo danh sách và hồ sơ đối tượng đủ điều kiện hưởng chế độ báo cáo Quân khu (qua Phòng Chính sách).
Đối với Bộ Tư lệnh Thủ đô Hà Nội, cơ quan Cục Chính trị thực hiện trách nhiệm tương tự Bộ Chỉ huy quân sự tỉnh (thành phố) trong việc chỉ đạo các đơn vị thuộc quyền và phối hợp với các cơ quan chức năng của thành phố Hà Nội.
Bước 8: Bộ Tư lệnh các quân khu và Bộ Tư lệnh Thủ đô Hà Nội chỉ đạo các cơ quan chức năng tổ chức xét duyệt; đề nghị Bộ Quốc phòng (qua Cục Chính sách - Tổng cục Chính trị).
Bước 9: Cục Chính sách - Tổng cục Chính trị:
- Thẩm định, ra quyết định hưởng chế độ trợ cấp hàng tháng.
- Làm công văn giới thiệu, kèm hồ sơ chuyển về Bộ chỉ huy quân sự tỉnh (thành phố) bàn giao Sở Lao động-Thương binh và Xã hội tỉnh (thành phố) để chi trả chế độ.
Bước 10: Bộ Chỉ huy quân sự tỉnh (thành phố) bàn giao hồ sơ hưởng trợ cấp hàng tháng của đối tượng cho Sở Lao động - Thương binh và Xã hội tiếp nhận, chậm nhất không quá 45 ngày, kể từ ngày ký quyết định hưởng chế độ.
Chuyển trả giấy tờ gốc cho đối tượng chậm nhất 30 ngày sau khi Sở Lao động-Thương binh và Xã hội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cá nhân của đối tượng;</w:t>
            </w:r>
          </w:p>
        </w:tc>
        <w:tc>
          <w:p/>
          <w:p>
            <w:pPr>
              <w:spacing w:after="0" w:before="0" w:lineRule="auto" w:line="276"/>
              <w:jc w:val="left"/>
            </w:pPr>
            <w:r>
              <w:rPr>
                <w:rFonts w:ascii="Times New Roman" w:hAnsi="Times New Roman" w:cs="Times New Roman" w:eastAsia="Times New Roman"/>
                <w:b w:val="false"/>
                <w:sz w:val="26"/>
              </w:rPr>
              <w:t>MU1A.docx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hoặc các giấy tờ gốc hoặc đuợc coi là giấy tờ gốc; hoặc giấy tờ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photo chứng minh thư nhân dân (có xác nhận của Uỷ ban nhân dân xã, phường);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và xác nhận của hội nghị Ban chấp hành Hội Cựu chiến binh xã, phường;</w:t>
            </w:r>
          </w:p>
        </w:tc>
        <w:tc>
          <w:p/>
          <w:p>
            <w:pPr>
              <w:spacing w:after="0" w:before="0" w:lineRule="auto" w:line="276"/>
              <w:jc w:val="left"/>
            </w:pPr>
            <w:r>
              <w:rPr>
                <w:rFonts w:ascii="Times New Roman" w:hAnsi="Times New Roman" w:cs="Times New Roman" w:eastAsia="Times New Roman"/>
                <w:b w:val="false"/>
                <w:sz w:val="26"/>
              </w:rPr>
              <w:t>Mẫu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của Uỷ ban nhân dân xã, phường;</w:t>
            </w:r>
          </w:p>
        </w:tc>
        <w:tc>
          <w:p/>
          <w:p>
            <w:pPr>
              <w:spacing w:after="0" w:before="0" w:lineRule="auto" w:line="276"/>
              <w:jc w:val="left"/>
            </w:pPr>
            <w:r>
              <w:rPr>
                <w:rFonts w:ascii="Times New Roman" w:hAnsi="Times New Roman" w:cs="Times New Roman" w:eastAsia="Times New Roman"/>
                <w:b w:val="false"/>
                <w:sz w:val="26"/>
              </w:rPr>
              <w:t>Mẫu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của các cấp;</w:t>
            </w:r>
          </w:p>
        </w:tc>
        <w:tc>
          <w:p/>
          <w:p>
            <w:pPr>
              <w:spacing w:after="0" w:before="0" w:lineRule="auto" w:line="276"/>
              <w:jc w:val="left"/>
            </w:pPr>
            <w:r>
              <w:rPr>
                <w:rFonts w:ascii="Times New Roman" w:hAnsi="Times New Roman" w:cs="Times New Roman" w:eastAsia="Times New Roman"/>
                <w:b w:val="false"/>
                <w:sz w:val="26"/>
              </w:rPr>
              <w:t>Mẫu 05.docx</w:t>
            </w:r>
          </w:p>
          <w:p>
            <w:pPr>
              <w:spacing w:after="0" w:before="0" w:lineRule="auto" w:line="276"/>
              <w:jc w:val="left"/>
            </w:pPr>
            <w:r>
              <w:rPr>
                <w:rFonts w:ascii="Times New Roman" w:hAnsi="Times New Roman" w:cs="Times New Roman" w:eastAsia="Times New Roman"/>
                <w:b w:val="false"/>
                <w:sz w:val="26"/>
              </w:rPr>
              <w:t>Mẫu 5a.docx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đối tượng được hưởng chế độ trợ cấp hàng tháng;</w:t>
            </w:r>
          </w:p>
        </w:tc>
        <w:tc>
          <w:p/>
          <w:p>
            <w:pPr>
              <w:spacing w:after="0" w:before="0" w:lineRule="auto" w:line="276"/>
              <w:jc w:val="left"/>
            </w:pPr>
            <w:r>
              <w:rPr>
                <w:rFonts w:ascii="Times New Roman" w:hAnsi="Times New Roman" w:cs="Times New Roman" w:eastAsia="Times New Roman"/>
                <w:b w:val="false"/>
                <w:sz w:val="26"/>
              </w:rPr>
              <w:t>Mẫu 6a.docx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quá trình công tác trong quân đội;</w:t>
            </w:r>
          </w:p>
        </w:tc>
        <w:tc>
          <w:p/>
          <w:p>
            <w:pPr>
              <w:spacing w:after="0" w:before="0" w:lineRule="auto" w:line="276"/>
              <w:jc w:val="left"/>
            </w:pPr>
            <w:r>
              <w:rPr>
                <w:rFonts w:ascii="Times New Roman" w:hAnsi="Times New Roman" w:cs="Times New Roman" w:eastAsia="Times New Roman"/>
                <w:b w:val="false"/>
                <w:sz w:val="26"/>
              </w:rPr>
              <w:t>Mẫu 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giới thiệu chi trả trợ cấp hàng tháng.</w:t>
            </w:r>
          </w:p>
        </w:tc>
        <w:tc>
          <w:p/>
          <w:p>
            <w:pPr>
              <w:spacing w:after="0" w:before="0" w:lineRule="auto" w:line="276"/>
              <w:jc w:val="left"/>
            </w:pPr>
            <w:r>
              <w:rPr>
                <w:rFonts w:ascii="Times New Roman" w:hAnsi="Times New Roman" w:cs="Times New Roman" w:eastAsia="Times New Roman"/>
                <w:b w:val="false"/>
                <w:sz w:val="26"/>
              </w:rPr>
              <w:t>Mẫu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Tổng cục Chính trị, Cục Chính sách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Lao động - Thương binh và Xã hội huyện, Công đoàn cơ quan BHXH Việt Nam</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chế độ trợ cấp hàng tháng theo Quyết định số 142/2008/QĐ-TTg ngày 27/10/2008 của Thủ tướng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142/2008/QĐ-TTg</w:t>
            </w:r>
          </w:p>
        </w:tc>
        <w:tc>
          <w:p/>
          <w:p>
            <w:pPr>
              <w:spacing w:after="0" w:before="0" w:lineRule="auto" w:line="276"/>
              <w:jc w:val="left"/>
            </w:pPr>
            <w:r>
              <w:rPr>
                <w:rFonts w:ascii="Times New Roman" w:hAnsi="Times New Roman" w:cs="Times New Roman" w:eastAsia="Times New Roman"/>
                <w:b w:val="false"/>
                <w:sz w:val="26"/>
              </w:rPr>
              <w:t>Về thực hiện chế độ đối với quân nhân tham gia kháng chiến chống Mỹ cứu nước có dưới 20 năm công tác trong quân đội đã phục viên, xuất ngũ về địa phương</w:t>
            </w:r>
          </w:p>
        </w:tc>
        <w:tc>
          <w:p/>
          <w:p>
            <w:pPr>
              <w:spacing w:after="0" w:before="0" w:lineRule="auto" w:line="276"/>
              <w:jc w:val="left"/>
            </w:pPr>
            <w:r>
              <w:rPr>
                <w:rFonts w:ascii="Times New Roman" w:hAnsi="Times New Roman" w:cs="Times New Roman" w:eastAsia="Times New Roman"/>
                <w:b w:val="false"/>
                <w:sz w:val="26"/>
              </w:rPr>
              <w:t>27-10-2008</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144/2008/TTLT-BQP-BLĐTBXH-BTC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142/2008/QĐ-TTg ngày 27 tháng 10 năm 2008 của Thủ tướng Chính phủ về thực hiện chế độ đối với quân nhân tham gia kháng chiến chống Mỹ cứu nước có dưới 20 năm công tác trong quân đội đã phục viên, xuất ngũ về địa phương</w:t>
            </w:r>
          </w:p>
        </w:tc>
        <w:tc>
          <w:p/>
          <w:p>
            <w:pPr>
              <w:spacing w:after="0" w:before="0" w:lineRule="auto" w:line="276"/>
              <w:jc w:val="left"/>
            </w:pPr>
            <w:r>
              <w:rPr>
                <w:rFonts w:ascii="Times New Roman" w:hAnsi="Times New Roman" w:cs="Times New Roman" w:eastAsia="Times New Roman"/>
                <w:b w:val="false"/>
                <w:sz w:val="26"/>
              </w:rPr>
              <w:t>27-11-2008</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tư­ợng và điều kiện áp dụng:
Quân nhân tham gia kháng chiến chống Mỹ cứu n­ước, nhập ngũ từ ngày 30/4/1975 trở về trư­ớc, có từ đủ 15 năm đến dưới 20 năm công tác trong quân đội đã phục viên, xuất ngũ về địa phương, hiện không thuộc diện hưởng chế độ hư­u trí, chế độ mất sức lao động hoặc chế độ bệnh binh hàng tháng, thuộc một trong các trường hợp sau đây:
- Đã phục viên, xuất ngũ về địa phương;
- Đã chuyển ngành rồi thôi việc;
- Đã phục viên, xuất ngũ một thời gian rồi tiếp tục công tác (tái ngũ, làm việc ở cơ quan, đơn vị, tổ chức ngoài quân đội), sau đó lại phục viên, xuất ngũ, thôi việc.
Thông tư liên tịch số 144/2008/TTLT-BQP-BLĐTBXH-BTC ngày 27/11/2008 của Bộ Quốc phòng, Bộ Lao động Thương binh và Xã hội, Bộ Tài chính hướng dẫn thực hiện Quyết định số 142/2008/QĐ-TTg ngày 27/10/2008 của Thủ tướng Chính phủ về thực hiện chế độ đối với quân nhân tham gia kháng chiến chống Mỹ cứu nước có dưới 20 năm công tác trong quân đội đã phục viên, xuất ngũ về địa phương.
b, Đối t­ượng không áp dụng:
- Những ngư­ời thuộc đối tư­ợng nêu trên nhưng hiện đang h­ưởng chế độ hưu trí, chế độ mất sức lao động hoặc chế độ bệnh binh hàng tháng; hoặc hiện đang công tác hư­ởng l­ương từ ngân sách Nhà nước có tham gia bảo hiểm xã hội bắt buộc;
- Những ngư­ời phản bội, đầu hàng địch; người vi phạm kỷ luật bị tước danh hiệu quân nhân; ng­ười tính đến ngày Quyết định số 142/2008/QĐ-TTg có hiệu lực thi hành mà đang chấp hành án tù chung thân hoặc bị kết án một trong các tội xâm phạm an ninh quốc gia mà chư­a đ­ược xoá án tích;
- Ng­ười xuất cảnh ra n­ước ngoài (bao gồm cả ngư­ời đi lao động hợp tác quốc tế) và ở lại nư­ớc ngoài bất hợp pháp;
- Ng­ười đã từ trần như­ng không còn vợ hoặc chồng; bố đẻ, mẹ đẻ; con đẻ, con nuôi hoặc ngư­ời nuôi d­ưỡng hợp pháp.
Thông tư liên tịch số 144/2008/TTLT-BQP-BLĐTBXH-BTC ngày 27/11/2008 của Bộ Quốc phòng, Bộ Lao động Thương binh và Xã hội, Bộ Tài chính hướng dẫn thực hiện Quyết định số 142/2008/QĐ-TTg ngày 27/10/2008 của Thủ tướng Chính phủ về thực hiện chế độ đối với quân nhân tham gia kháng chiến chống Mỹ cứu nước có dưới 20 năm công tác trong quân đội đã phục viên, xuất ngũ về địa phương.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2026-05-20T08:03:31Z</dcterms:created>
  <dc:creator>Apache POI</dc:creator>
</cp:coreProperties>
</file>