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1.001892.000.00.00.H56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4918/QĐ-UBND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tuc thực hiện chế độ một lần đối với đối tượng hạ sĩ quan, chiến sĩ quân đội theo Quyết định 188/2007/QĐ-TTg (đối tượng lập hồ sơ lần đầu)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hoặc thân nhân đối tượng làm bản khai theo mẫu qui định, nộp bản khai và các giấy tờ gốc hoặc giấy tờ được coi là giấy tờ gốc, giấy tờ có liên quan (nếu có) cho Ủy ban nhân dân xã (phường).
Bước 2: Ủy ban nhân dân xã (phường) tiếp nhận hồ sơ của đối tượng. Chỉ đạo Trưởng thôn tổ chức hội nghị tập thể để xem xét, xác nhận và đề nghị chế độ một lần. 
Bước 3: Tổng hợp danh sách và hồ sơ đối tượng do các Trưởng thôn báo cáo; đề nghị Ban Chấp hành Hội Cựu chiến binh họp xem xét, xác nhận đối tượng (bao gồm cả đối tượng khác quê quán nhưng cư trú ổn định tại địa phương, có thể xác định được thời gian công tác tính hưởng chế độ).
Bước 4: Tổ chức hội nghị Hội đồng chính sách công khai xét duyệt đối với các đối tượng do thôn và Ban chấp hành Hội Cựu chiến binh báo cáo.
Bước 5: Niêm yết danh sách đối tượng đã xét duyệt, sau 15 ngày nếu không có ý kiến thắc mắc, khiếu kiện của nhân dân thì tổng hợp, lập hồ sơ báo cáo Ủy ban nhân dân huyện, quận (qua Ban chỉ huy quân sự huyện, quận).
Bước 6: Ban Chỉ huy quân sự huyện (quận) phối hợp với các cơ quan chức năng tổ chức xét duyệt thẩm định, tổng hợp và báo cáo Ủy ban nhân dân tỉnh, thành phố (qua Bộ Chỉ huy quân sự tỉnh, thành phố).
Bước 7: Bộ Chỉ huy quân sự tỉnh (thành phố) phối hợp với các cơ quan chức năng tổ chức xét duyệt thẩm định, tổng hợp danh sách báo cáo Quân khu (qua Cục Chính trị).
Bước 8: Bộ Tư lệnh Quân khu, Bộ Tư lệnh Thủ đô Hà Nội tổ chức thẩm định, ra quyết định hưởng chế độ cho đối tượng thuộc thẩm quyền quy định, báo cáo Bộ Quốc phòng (qua Cục Chính sách).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
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cá nhân có chứng nhận của cơ quan, đơn vị nơi công tác. Bản khai thân nhân (đối với đối tượng đã từ trần) phải kèm theo giấy uỷ quyền của các thân nhân chủ yếu khác, có xác nhận của chính quyền xã nơi cư trú;</w:t>
            </w:r>
          </w:p>
        </w:tc>
        <w:tc>
          <w:p/>
          <w:p>
            <w:pPr>
              <w:spacing w:after="0" w:before="0" w:lineRule="auto" w:line="276"/>
              <w:jc w:val="left"/>
            </w:pPr>
            <w:r>
              <w:rPr>
                <w:rFonts w:ascii="Times New Roman" w:hAnsi="Times New Roman" w:cs="Times New Roman" w:eastAsia="Times New Roman"/>
                <w:b w:val="false"/>
                <w:sz w:val="26"/>
              </w:rPr>
              <w:t>Mu2A-phlc1.docx</w:t>
            </w:r>
          </w:p>
          <w:p>
            <w:pPr>
              <w:spacing w:after="0" w:before="0" w:lineRule="auto" w:line="276"/>
              <w:jc w:val="left"/>
            </w:pPr>
            <w:r>
              <w:rPr>
                <w:rFonts w:ascii="Times New Roman" w:hAnsi="Times New Roman" w:cs="Times New Roman" w:eastAsia="Times New Roman"/>
                <w:b w:val="false"/>
                <w:sz w:val="26"/>
              </w:rPr>
              <w:t>Mu2B-PL1.docx</w:t>
            </w:r>
          </w:p>
          <w:p>
            <w:pPr>
              <w:spacing w:after="0" w:before="0" w:lineRule="auto" w:line="276"/>
              <w:jc w:val="left"/>
            </w:pPr>
            <w:r>
              <w:rPr>
                <w:rFonts w:ascii="Times New Roman" w:hAnsi="Times New Roman" w:cs="Times New Roman" w:eastAsia="Times New Roman"/>
                <w:b w:val="false"/>
                <w:sz w:val="26"/>
              </w:rPr>
              <w:t>Mu4-phlc11.docx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giấy tờ gốc, có công chứng Nhà nước hoặc chứng thực của UBND xã (phường) nơi cư trú (Giấy tờ gốc gồm: lý lịch Đảng viên; lý lịch cán bộ, bản trích 63, lý lịch quân nhân; hồ sơ phục viên, xuất ngũ, thôi việc, hồ sơ hưởng chế độ bệnh binh hoặc hồ sơ hưởng BHXH hàng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trích sao quá trình công tác được hưởng chế độ có xác nhận của cơ quan quản lý hồ sơ, lý lịch và bản sao photo toàn bộ quá trình công tác của đối tượng do cơ quan quản lý hồ sơ, lý lịch cung cấp và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xem xét và xác nhận đối tượng của hội nghị liên tịch thôn, xóm, tổ dân phố, ấp;</w:t>
            </w:r>
          </w:p>
        </w:tc>
        <w:tc>
          <w:p/>
          <w:p>
            <w:pPr>
              <w:spacing w:after="0" w:before="0" w:lineRule="auto" w:line="276"/>
              <w:jc w:val="left"/>
            </w:pPr>
            <w:r>
              <w:rPr>
                <w:rFonts w:ascii="Times New Roman" w:hAnsi="Times New Roman" w:cs="Times New Roman" w:eastAsia="Times New Roman"/>
                <w:b w:val="false"/>
                <w:sz w:val="26"/>
              </w:rPr>
              <w:t>Mẫu 05. BIÊN BẢN HỌI NGHỊ LIÊN TICH.docx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và xác nhận của Hội nghị BCH Hội Cựu chiến binh xã, phường;</w:t>
            </w:r>
          </w:p>
        </w:tc>
        <w:tc>
          <w:p/>
          <w:p>
            <w:pPr>
              <w:spacing w:after="0" w:before="0" w:lineRule="auto" w:line="276"/>
              <w:jc w:val="left"/>
            </w:pPr>
            <w:r>
              <w:rPr>
                <w:rFonts w:ascii="Times New Roman" w:hAnsi="Times New Roman" w:cs="Times New Roman" w:eastAsia="Times New Roman"/>
                <w:b w:val="false"/>
                <w:sz w:val="26"/>
              </w:rPr>
              <w:t>Mẫu 06. BIÊN BẢN HỘI NGHỊ BCH HỘI CỰU CHIẾN BINH.docx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hưởng chế độ một lần cho đối tượng;</w:t>
            </w:r>
          </w:p>
        </w:tc>
        <w:tc>
          <w:p/>
          <w:p>
            <w:pPr>
              <w:spacing w:after="0" w:before="0" w:lineRule="auto" w:line="276"/>
              <w:jc w:val="left"/>
            </w:pPr>
            <w:r>
              <w:rPr>
                <w:rFonts w:ascii="Times New Roman" w:hAnsi="Times New Roman" w:cs="Times New Roman" w:eastAsia="Times New Roman"/>
                <w:b w:val="false"/>
                <w:sz w:val="26"/>
              </w:rPr>
              <w:t>Mẫu 8A.docx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của UBND xã, phường (kèm danh sách);</w:t>
            </w:r>
          </w:p>
        </w:tc>
        <w:tc>
          <w:p/>
          <w:p>
            <w:pPr>
              <w:spacing w:after="0" w:before="0" w:lineRule="auto" w:line="276"/>
              <w:jc w:val="left"/>
            </w:pPr>
            <w:r>
              <w:rPr>
                <w:rFonts w:ascii="Times New Roman" w:hAnsi="Times New Roman" w:cs="Times New Roman" w:eastAsia="Times New Roman"/>
                <w:b w:val="false"/>
                <w:sz w:val="26"/>
              </w:rPr>
              <w:t>Mẫu 7A.docx</w:t>
            </w:r>
          </w:p>
          <w:p>
            <w:pPr>
              <w:spacing w:after="0" w:before="0" w:lineRule="auto" w:line="276"/>
              <w:jc w:val="left"/>
            </w:pPr>
            <w:r>
              <w:rPr>
                <w:rFonts w:ascii="Times New Roman" w:hAnsi="Times New Roman" w:cs="Times New Roman" w:eastAsia="Times New Roman"/>
                <w:b w:val="false"/>
                <w:sz w:val="26"/>
              </w:rPr>
              <w:t>Mẫu 9A.docx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Tư lệnh Thủ đô Hà nội, Bộ Tư lệnh Quân khu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   Địa chỉ trực tuyến: https://dichvucong.thanhhoa.gov.vn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Bộ chỉ huy quân sự cấp tỉnh, Ban chỉ huy quân sự cấp huyện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chế độ trợ cấp một lần với đối tượng trực tiếp tham gia kháng chiến chống Mỹ theo Quyết định số 290/2005/QĐ-TTg ngày 08/11/2005 của Thủ tướng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290/2005/QĐ-TTg</w:t>
            </w:r>
          </w:p>
        </w:tc>
        <w:tc>
          <w:p/>
          <w:p>
            <w:pPr>
              <w:spacing w:after="0" w:before="0" w:lineRule="auto" w:line="276"/>
              <w:jc w:val="left"/>
            </w:pPr>
            <w:r>
              <w:rPr>
                <w:rFonts w:ascii="Times New Roman" w:hAnsi="Times New Roman" w:cs="Times New Roman" w:eastAsia="Times New Roman"/>
                <w:b w:val="false"/>
                <w:sz w:val="26"/>
              </w:rPr>
              <w:t>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08-11-2005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191/2005/TTLT/BQP-BLĐTBXH-BTC</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290/2005/QĐ-TTg ngày 08/11/2005 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07-12-2005</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188/2007/QĐ-TTg</w:t>
            </w:r>
          </w:p>
        </w:tc>
        <w:tc>
          <w:p/>
          <w:p>
            <w:pPr>
              <w:spacing w:after="0" w:before="0" w:lineRule="auto" w:line="276"/>
              <w:jc w:val="left"/>
            </w:pPr>
            <w:r>
              <w:rPr>
                <w:rFonts w:ascii="Times New Roman" w:hAnsi="Times New Roman" w:cs="Times New Roman" w:eastAsia="Times New Roman"/>
                <w:b w:val="false"/>
                <w:sz w:val="26"/>
              </w:rPr>
              <w:t>Về việc sửa đổi, bổ sung Quyết định số 290/2005/QĐ-TTg ngày 08/11/2005 của Thủ tướng Chính phủ 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06-12-2007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Thông tư số 104/2024/TT-BQP</w:t>
            </w:r>
          </w:p>
        </w:tc>
        <w:tc>
          <w:p/>
          <w:p>
            <w:pPr>
              <w:spacing w:after="0" w:before="0" w:lineRule="auto" w:line="276"/>
              <w:jc w:val="left"/>
            </w:pPr>
            <w:r>
              <w:rPr>
                <w:rFonts w:ascii="Times New Roman" w:hAnsi="Times New Roman" w:cs="Times New Roman" w:eastAsia="Times New Roman"/>
                <w:b w:val="false"/>
                <w:sz w:val="26"/>
              </w:rPr>
              <w:t>Thông tư thay thế, bãi bỏ một số quy định, mẫu biểu tại các một số quy định, mẫu biểu tại các Thông tư liên tịch của Bộ Quốc phòng, Bộ Lao động - Thương binh và Xã hội, Bộ Tài chính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Hạ sĩ quan, chiến sĩ quân đội tham gia chiến đấu và hoạt động tại chiến trường B, C, K trong khoảng thời gian từ tháng 7/1954 đến 30/4/1975, nhưng không có thân nhân phải trực tiếp nuôi dưỡng ở miền Bắc.
- Điểm a, khoản 1 Mục I Thông tư liên tịch số 21/2008/TTLT-BQP-BLĐTBXH-BTC ngày 26/02/2008 của Bộ Quốc phòng, Bộ Lao động Thương binh và Xã hội, Bộ Tài chính sửa  đổi, bổ  sung Thông tư liên tịch số 191/2005/TTLT-BQP-BLĐTBXH-BTC ngày  07/12/2005 của Bộ Quốc  phòng, Bộ Lao động Thương binh và  Xã  hội, Bộ  Tài chính hướng dẫn thực hiện Quyết định số 290/2005/QĐ-TTg ngày 08/11/2005 của Thủ tướng Chính phủ về chế độ, chính sách đối với một số đối tượng trực tiếp tham gia kháng chiến chống Mỹ cứu nước nhưng chưa được hưởng chính sách của Đảng và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2026-05-20T08:05:23Z</dcterms:created>
  <dc:creator>Apache POI</dc:creator>
</cp:coreProperties>
</file>