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1.001790.000.00.00.H56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chế độ một lần đối với đối tượng hạ sĩ quan, chiến sĩ quân đội theo Quyết định số 188/2007/QĐ-TTg (đối tượng cư trú ở địa phương khác không còn lưu giữ được giấy tờ)</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làm tờ khai theo mẫu quy định gửi Ủy ban nhân dân xã, phường nơi sinh quán. 
Bước 2: Ủy ban nhân dân xã, phường nơi sinh quán của đối tượng tiếp nhận hồ sơ, chuyển Trưởng thôn để tổ chức hội nghị liên tịch xem xét, xác nhận cho đối tượng.
Bước 3: Ban Chỉ huy quân sự xã, đề nghị Ban chấp hành Hội Cựu chiến binh họp xem xét, xác nhận đối tượng.
Bước 4: Hội đồng chính sách xã, phường họp công khai xét duyệt đối với đối tượng do Ban chấp hành Hội Cựu chiến binh đã cho ý kiến bằng văn bản.
Trong thời gian 45 ngày phải trả lời đối tượng (kèm theo văn bản) để địa phương nơi đối tượng thường trú xét duyệt và đề nghị hưởng chế độ.
Bước 5: Ủy ban nhân dân xã, phường nơi thường trú: tiếp nhận hồ sơ, xét duyệt và đề nghị hưởng chế độ.
Bước 6: Ban chỉ huy quân sự huyện (quận) phối hợp với các cơ quan chức năng tổ chức xét duyệt thẩm định, tổng hợp và báo cáo Ủy ban nhân dân tỉnh, thành phố (qua Bộ Chỉ huy quân sự tỉnh, thành phố).
Bước 7: Bộ chỉ huy quân sự tỉnh (thành phố) phối hợp với các cơ quan chức năng tổ chức xét duyệt thẩm định, tổng hợp danh sách báo cáo Quân khu (qua Cục Chính trị).
Bước 8: Bộ Tư lệnh Quân khu, Bộ Tư lệnh Thủ đô Hà Nội tổ chức thẩm định, ra quyết định hưởng chế độ cho đối tượng thuộc thẩm quyền quy định, báo cáo Bộ Quốc phòng (qua Cục Chính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cá nhân hoặc Bản khai thân nhân (phải kèm theo giấy uỷ quyền của các thân nhân chủ yếu khác), có xác nhận của chính quyền xã nơi cư trú</w:t>
            </w:r>
          </w:p>
        </w:tc>
        <w:tc>
          <w:p/>
          <w:p>
            <w:pPr>
              <w:spacing w:after="0" w:before="0" w:lineRule="auto" w:line="276"/>
              <w:jc w:val="left"/>
            </w:pPr>
            <w:r>
              <w:rPr>
                <w:rFonts w:ascii="Times New Roman" w:hAnsi="Times New Roman" w:cs="Times New Roman" w:eastAsia="Times New Roman"/>
                <w:b w:val="false"/>
                <w:sz w:val="26"/>
              </w:rPr>
              <w:t>Mu2A-phlc1.docx</w:t>
            </w:r>
          </w:p>
          <w:p>
            <w:pPr>
              <w:spacing w:after="0" w:before="0" w:lineRule="auto" w:line="276"/>
              <w:jc w:val="left"/>
            </w:pPr>
            <w:r>
              <w:rPr>
                <w:rFonts w:ascii="Times New Roman" w:hAnsi="Times New Roman" w:cs="Times New Roman" w:eastAsia="Times New Roman"/>
                <w:b w:val="false"/>
                <w:sz w:val="26"/>
              </w:rPr>
              <w:t>Mu2B-PL1.docx</w:t>
            </w:r>
          </w:p>
          <w:p>
            <w:pPr>
              <w:spacing w:after="0" w:before="0" w:lineRule="auto" w:line="276"/>
              <w:jc w:val="left"/>
            </w:pPr>
            <w:r>
              <w:rPr>
                <w:rFonts w:ascii="Times New Roman" w:hAnsi="Times New Roman" w:cs="Times New Roman" w:eastAsia="Times New Roman"/>
                <w:b w:val="false"/>
                <w:sz w:val="26"/>
              </w:rPr>
              <w:t>Mu4-Phlc1.docx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xem xét và xác nhận đối tượng của hội nghị liên tịch thôn, xóm, tổ dân phố, ấp</w:t>
            </w:r>
          </w:p>
        </w:tc>
        <w:tc>
          <w:p/>
          <w:p>
            <w:pPr>
              <w:spacing w:after="0" w:before="0" w:lineRule="auto" w:line="276"/>
              <w:jc w:val="left"/>
            </w:pPr>
            <w:r>
              <w:rPr>
                <w:rFonts w:ascii="Times New Roman" w:hAnsi="Times New Roman" w:cs="Times New Roman" w:eastAsia="Times New Roman"/>
                <w:b w:val="false"/>
                <w:sz w:val="26"/>
              </w:rPr>
              <w:t>Mẫu 05. BIÊN BẢN HỌI NGHỊ LIÊN TICH.docx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xét và xác nhận của Hội nghị Ban chấp hành Hội Cựu chiến binh xã, phường</w:t>
            </w:r>
          </w:p>
        </w:tc>
        <w:tc>
          <w:p/>
          <w:p>
            <w:pPr>
              <w:spacing w:after="0" w:before="0" w:lineRule="auto" w:line="276"/>
              <w:jc w:val="left"/>
            </w:pPr>
            <w:r>
              <w:rPr>
                <w:rFonts w:ascii="Times New Roman" w:hAnsi="Times New Roman" w:cs="Times New Roman" w:eastAsia="Times New Roman"/>
                <w:b w:val="false"/>
                <w:sz w:val="26"/>
              </w:rPr>
              <w:t>Mẫu 06. BIÊN BẢN HỘI NGHỊ BCH HỘI CỰU CHIẾN BINH.docx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Công văn đề nghị hưởng chế độ một lần cho đối tượng</w:t>
            </w:r>
          </w:p>
        </w:tc>
        <w:tc>
          <w:p/>
          <w:p>
            <w:pPr>
              <w:spacing w:after="0" w:before="0" w:lineRule="auto" w:line="276"/>
              <w:jc w:val="left"/>
            </w:pPr>
            <w:r>
              <w:rPr>
                <w:rFonts w:ascii="Times New Roman" w:hAnsi="Times New Roman" w:cs="Times New Roman" w:eastAsia="Times New Roman"/>
                <w:b w:val="false"/>
                <w:sz w:val="26"/>
              </w:rPr>
              <w:t>Mẫu 8A.docx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Công văn đề nghị của UBND xã, phường (kèm danh sách)</w:t>
            </w:r>
          </w:p>
        </w:tc>
        <w:tc>
          <w:p/>
          <w:p>
            <w:pPr>
              <w:spacing w:after="0" w:before="0" w:lineRule="auto" w:line="276"/>
              <w:jc w:val="left"/>
            </w:pPr>
            <w:r>
              <w:rPr>
                <w:rFonts w:ascii="Times New Roman" w:hAnsi="Times New Roman" w:cs="Times New Roman" w:eastAsia="Times New Roman"/>
                <w:b w:val="false"/>
                <w:sz w:val="26"/>
              </w:rPr>
              <w:t>Mẫu 7A.docx</w:t>
            </w:r>
          </w:p>
          <w:p>
            <w:pPr>
              <w:spacing w:after="0" w:before="0" w:lineRule="auto" w:line="276"/>
              <w:jc w:val="left"/>
            </w:pPr>
            <w:r>
              <w:rPr>
                <w:rFonts w:ascii="Times New Roman" w:hAnsi="Times New Roman" w:cs="Times New Roman" w:eastAsia="Times New Roman"/>
                <w:b w:val="false"/>
                <w:sz w:val="26"/>
              </w:rPr>
              <w:t>Mẫu 9B.docx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lệnh Thủ đô Hà nội, Bộ Tư lệnh Quân khu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chỉ huy quân sự cấp tỉnh, Ban chỉ huy quân sự cấp huyện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chế độ trợ cấp một lần với đối tượng trực tiếp tham gia kháng chiến chống Mỹ theo Quyết định số 290/2005/QĐ-TTg ngày 08/11/2005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290/2005/QĐ-TTg</w:t>
            </w:r>
          </w:p>
        </w:tc>
        <w:tc>
          <w:p/>
          <w:p>
            <w:pPr>
              <w:spacing w:after="0" w:before="0" w:lineRule="auto" w:line="276"/>
              <w:jc w:val="left"/>
            </w:pPr>
            <w:r>
              <w:rPr>
                <w:rFonts w:ascii="Times New Roman" w:hAnsi="Times New Roman" w:cs="Times New Roman" w:eastAsia="Times New Roman"/>
                <w:b w:val="false"/>
                <w:sz w:val="26"/>
              </w:rPr>
              <w:t>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08-11-2005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191/2005/TTLT/BQP-BLĐTBXH-BTC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290/2005/QĐ-TTg ngày 08/11/2005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07-12-2005</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188/2007/QĐ-TTg</w:t>
            </w:r>
          </w:p>
        </w:tc>
        <w:tc>
          <w:p/>
          <w:p>
            <w:pPr>
              <w:spacing w:after="0" w:before="0" w:lineRule="auto" w:line="276"/>
              <w:jc w:val="left"/>
            </w:pPr>
            <w:r>
              <w:rPr>
                <w:rFonts w:ascii="Times New Roman" w:hAnsi="Times New Roman" w:cs="Times New Roman" w:eastAsia="Times New Roman"/>
                <w:b w:val="false"/>
                <w:sz w:val="26"/>
              </w:rPr>
              <w:t>Về việc sửa đổi, bổ sung Quyết định số 290/2005/QĐ-TTg ngày 08/11/2005 của Thủ tướng Chính phủ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06-12-2007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21/2008/TTLT- BQP-BLĐTBXH-BTC</w:t>
            </w:r>
          </w:p>
        </w:tc>
        <w:tc>
          <w:p/>
          <w:p>
            <w:pPr>
              <w:spacing w:after="0" w:before="0" w:lineRule="auto" w:line="276"/>
              <w:jc w:val="left"/>
            </w:pPr>
            <w:r>
              <w:rPr>
                <w:rFonts w:ascii="Times New Roman" w:hAnsi="Times New Roman" w:cs="Times New Roman" w:eastAsia="Times New Roman"/>
                <w:b w:val="false"/>
                <w:sz w:val="26"/>
              </w:rPr>
              <w:t>Sửa đổi, bổ sung Thông tư liên tịch số 191/2005/TTLT-BQP-BLĐTBXH-BTC ngày 07 tháng 12 năm 2005 của Bộ Quốc phòng, Bộ Lao động-Thương binh và Xã hội, Bộ Tài chính hướng dẫn thực hiện Quyết định số 290/2005/QĐ-TTg ngày 08 tháng 11 năm 2005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26-02-2008</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Hạ sĩ quan, chiến sĩ quân đội tham gia chiến đấu và hoạt động tại chiến trường B, C, K trong khoảng thời gian từ tháng 7/1954 đến 30/4/1975, nhưng không có thân nhân phải trực tiếp nuôi dưỡng ở miền Bắc.
- Điểm a, khoản 1 Mục I Thông tư liên tịch số 21/2008/TTLT-BQP-BLĐTBXH-BTC ngày 26/02/2008 của Bộ Quốc phòng, Bộ Lao động Thương binh và Xã hội, Bộ Tài chính sửa  đổi, bổ  sung Thông tư liên tịch số 191/2005/TTLT-BQP-BLĐTBXH-BTC ngày  07/12/2005 của Bộ Quốc  phòng, Bộ Lao động Thương binh và  Xã  hội, Bộ  Tài chính hướng dẫn thực hiện Quyết định số 290/2005/QĐ-TTg ngày 08/11/2005 của Thủ tướng Chính phủ về chế độ, chính sách đối với một số đối tượng trực tiếp tham gia kháng chiến chống Mỹ cứu nước nhưng chưa được hưởng chính sách của Đảng và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2026-05-23T22:36:12Z</dcterms:created>
  <dc:creator>Apache POI</dc:creator>
</cp:coreProperties>
</file>