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1.001852.000.00.00.H56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4918/QĐ-UBND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thực hiện chế độ một lần đối với hạ sĩ quan, chiến sĩ quân đội đã được hưởng chế độ trợ cấp một lần theo Quyết định 290/2005/QĐ- TTg (nay bổ sung đối tượng theo Quyết định số 188/2007/QĐ-TTg)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hoặc thân nhân đối tượng làm bản khai theo mẫu qui định, nộp bản khai và các giấy tờ gốc hoặc giấy tờ được coi là giấy tờ gốc, giấy tờ có liên quan (nếu có) cho Ủy ban nhân dân xã (phường).
Bước 2: Ủy ban nhân dân xã (phường) tiếp nhận hồ sơ của đối tượng. Chỉ đạo Trưởng thôn tổ chức hội nghị tập thể để xem xét, xác nhận và đề nghị chế độ một lần.
Bước 3: Tổng hợp danh sách và hồ sơ đối tượng do các Trưởng thôn báo cáo; đề nghị Ban chấp hành Hội Cựu chiến binh họp xem xét, xác nhận đối tượng (bao gồm cả đối tượng khác quê quán nhưng cư trú ổn định tại địa phương, có thể xác định được thời gian công tác tính hưởng chế độ).
Bước 4: Tổ chức hội nghị Hội đồng chính sách công khai xét duyệt đối với các đối tượng do thôn và Ban chấp hành Hội Cựu chiến binh báo cáo.
Bước 5: Niêm yết danh sách đối tượng đã xét duyệt, sau 15 ngày nếu không có ý kiến thắc mắc, khiếu kiện của nhân dân thì tổng hợp, lập hồ sơ báo cáo Ủy ban nhân dân huyện, quận (qua Ban chỉ huy quân sự huyện, quận).
Bước 6: Ban Chỉ huy quân sự huyện (quận) phối hợp với các cơ quan chức năng tổ chức xét duyệt thẩm định, tổng hợp và báo cáo Ủy ban nhân dân tỉnh, thành phố (qua Bộ Chỉ huy quân sự tỉnh, thành phố).
Bước 7: Bộ Chỉ huy quân sự tỉnh (thành phố) phối hợp với các cơ quan chức năng tổ chức xét duyệt thẩm định, tổng hợp danh sách báo cáo Quân khu (qua Cục Chính trị).
Bước 8: Bộ Tư lệnh Quân khu, Bộ Tư lệnh Thủ đô Hà Nội tổ chức thẩm định, ra quyết định hưởng chế độ cho đối tượng thuộc thẩm quyền quy định, báo cáo Bộ Quốc phòng (qua Cục Chính sách).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Địa chỉ trực tuyến: https://dichvucong.thanhhoa.gov.vn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cá nhân có chứng nhận của cơ quan, đơn vị nơi công tác. Bản khai thân nhân (đối với đối tượng đã từ trần) phải kèm theo giấy uỷ quyền của các thân nhân chủ yếu khác, có xác nhận của chính quyền xã nơi cư trú;</w:t>
            </w:r>
          </w:p>
        </w:tc>
        <w:tc>
          <w:p/>
          <w:p>
            <w:pPr>
              <w:spacing w:after="0" w:before="0" w:lineRule="auto" w:line="276"/>
              <w:jc w:val="left"/>
            </w:pPr>
            <w:r>
              <w:rPr>
                <w:rFonts w:ascii="Times New Roman" w:hAnsi="Times New Roman" w:cs="Times New Roman" w:eastAsia="Times New Roman"/>
                <w:b w:val="false"/>
                <w:sz w:val="26"/>
              </w:rPr>
              <w:t>Mu2A-1phlc2.docx</w:t>
            </w:r>
          </w:p>
          <w:p>
            <w:pPr>
              <w:spacing w:after="0" w:before="0" w:lineRule="auto" w:line="276"/>
              <w:jc w:val="left"/>
            </w:pPr>
            <w:r>
              <w:rPr>
                <w:rFonts w:ascii="Times New Roman" w:hAnsi="Times New Roman" w:cs="Times New Roman" w:eastAsia="Times New Roman"/>
                <w:b w:val="false"/>
                <w:sz w:val="26"/>
              </w:rPr>
              <w:t>Mu2B-PL1.docx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một trong các giấy tờ gốc, có công chứng Nhà nước hoặc chứng thực của UBND xã (phường) nơi cư trú (Giấy tờ gốc gồm: lý lịch Đảng viên; lý lịch cán bộ, bản trích 63, lý lịch quân nhân; hồ sơ phục viên, xuất ngũ, thôi việc, hồ sơ hưởng chế độ bệnh binh hoặc hồ sơ hưởng BHXH hàng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trích sao quá trình công tác được hưởng chế độ có xác nhận của cơ quan quản lý hồ sơ, lý lịch và bản sao photo toàn bộ quá trình công tác của đối tượng do cơ quan quản lý hồ sơ, lý lịch cung cấp và xác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xem xét và xác nhận đối tượng của hội nghị liên tịch thôn, xóm, tổ dân phố, ấp;</w:t>
            </w:r>
          </w:p>
        </w:tc>
        <w:tc>
          <w:p/>
          <w:p>
            <w:pPr>
              <w:spacing w:after="0" w:before="0" w:lineRule="auto" w:line="276"/>
              <w:jc w:val="left"/>
            </w:pPr>
            <w:r>
              <w:rPr>
                <w:rFonts w:ascii="Times New Roman" w:hAnsi="Times New Roman" w:cs="Times New Roman" w:eastAsia="Times New Roman"/>
                <w:b w:val="false"/>
                <w:sz w:val="26"/>
              </w:rPr>
              <w:t>Mẫu 05. BIÊN BẢN HỌI NGHỊ LIÊN TICH.docx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xét và xác nhận của Hội nghị BCH Hội Cựu chiến binh xã, phường;</w:t>
            </w:r>
          </w:p>
        </w:tc>
        <w:tc>
          <w:p/>
          <w:p>
            <w:pPr>
              <w:spacing w:after="0" w:before="0" w:lineRule="auto" w:line="276"/>
              <w:jc w:val="left"/>
            </w:pPr>
            <w:r>
              <w:rPr>
                <w:rFonts w:ascii="Times New Roman" w:hAnsi="Times New Roman" w:cs="Times New Roman" w:eastAsia="Times New Roman"/>
                <w:b w:val="false"/>
                <w:sz w:val="26"/>
              </w:rPr>
              <w:t>Mẫu 06. BIÊN BẢN HỘI NGHỊ BCH HỘI CỰU CHIẾN BINH.docx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văn đề nghị hưởng chế độ một lần cho đối tượng;</w:t>
            </w:r>
          </w:p>
        </w:tc>
        <w:tc>
          <w:p/>
          <w:p>
            <w:pPr>
              <w:spacing w:after="0" w:before="0" w:lineRule="auto" w:line="276"/>
              <w:jc w:val="left"/>
            </w:pPr>
            <w:r>
              <w:rPr>
                <w:rFonts w:ascii="Times New Roman" w:hAnsi="Times New Roman" w:cs="Times New Roman" w:eastAsia="Times New Roman"/>
                <w:b w:val="false"/>
                <w:sz w:val="26"/>
              </w:rPr>
              <w:t>Mẫu 8A.docx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văn đề nghị của UBND xã, phường (kèm danh sách);</w:t>
            </w:r>
          </w:p>
        </w:tc>
        <w:tc>
          <w:p/>
          <w:p>
            <w:pPr>
              <w:spacing w:after="0" w:before="0" w:lineRule="auto" w:line="276"/>
              <w:jc w:val="left"/>
            </w:pPr>
            <w:r>
              <w:rPr>
                <w:rFonts w:ascii="Times New Roman" w:hAnsi="Times New Roman" w:cs="Times New Roman" w:eastAsia="Times New Roman"/>
                <w:b w:val="false"/>
                <w:sz w:val="26"/>
              </w:rPr>
              <w:t>Mẫu 7A.docx</w:t>
            </w:r>
          </w:p>
          <w:p>
            <w:pPr>
              <w:spacing w:after="0" w:before="0" w:lineRule="auto" w:line="276"/>
              <w:jc w:val="left"/>
            </w:pPr>
            <w:r>
              <w:rPr>
                <w:rFonts w:ascii="Times New Roman" w:hAnsi="Times New Roman" w:cs="Times New Roman" w:eastAsia="Times New Roman"/>
                <w:b w:val="false"/>
                <w:sz w:val="26"/>
              </w:rPr>
              <w:t>Mẫu 9A.docx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photo Quyết định hưởng chế độ một lần theo Quyết định số 290/2005/QĐ-TTg;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bổ sung.</w:t>
            </w:r>
          </w:p>
        </w:tc>
        <w:tc>
          <w:p/>
          <w:p>
            <w:pPr>
              <w:spacing w:after="0" w:before="0" w:lineRule="auto" w:line="276"/>
              <w:jc w:val="left"/>
            </w:pPr>
            <w:r>
              <w:rPr>
                <w:rFonts w:ascii="Times New Roman" w:hAnsi="Times New Roman" w:cs="Times New Roman" w:eastAsia="Times New Roman"/>
                <w:b w:val="false"/>
                <w:sz w:val="26"/>
              </w:rPr>
              <w:t>Mẫu 9B.docx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Tư lệnh Quân khu</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Ủy ban nhân dân cấp xã;   Địa chỉ trực tuyến: https://dichvucong.thanhhoa.gov.vn (một phần)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Bộ chỉ huy quân sự cấp tỉnh, Ban chỉ huy quân sự cấp huyện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chế độ trợ cấp một lần với đối tượng trực tiếp tham gia kháng chiến chống Mỹ theo Quyết định số 290/2005/QĐ-TTg ngày 08/11/2005 của Thủ tướng Chính phủ</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290/2005/QĐ-TTg</w:t>
            </w:r>
          </w:p>
        </w:tc>
        <w:tc>
          <w:p/>
          <w:p>
            <w:pPr>
              <w:spacing w:after="0" w:before="0" w:lineRule="auto" w:line="276"/>
              <w:jc w:val="left"/>
            </w:pPr>
            <w:r>
              <w:rPr>
                <w:rFonts w:ascii="Times New Roman" w:hAnsi="Times New Roman" w:cs="Times New Roman" w:eastAsia="Times New Roman"/>
                <w:b w:val="false"/>
                <w:sz w:val="26"/>
              </w:rPr>
              <w:t>Về chế độ, chính sách đối với một số đối tượng trực tiếp tham gia kháng chiến chống Mỹ cứu nước nhưng chưa được hưởng chính sách của Đảng và Nhà nước</w:t>
            </w:r>
          </w:p>
        </w:tc>
        <w:tc>
          <w:p/>
          <w:p>
            <w:pPr>
              <w:spacing w:after="0" w:before="0" w:lineRule="auto" w:line="276"/>
              <w:jc w:val="left"/>
            </w:pPr>
            <w:r>
              <w:rPr>
                <w:rFonts w:ascii="Times New Roman" w:hAnsi="Times New Roman" w:cs="Times New Roman" w:eastAsia="Times New Roman"/>
                <w:b w:val="false"/>
                <w:sz w:val="26"/>
              </w:rPr>
              <w:t>08-11-2005</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191/2005/TTLT/BQP-BLĐTBXH-BTC</w:t>
            </w:r>
          </w:p>
        </w:tc>
        <w:tc>
          <w:p/>
          <w:p>
            <w:pPr>
              <w:spacing w:after="0" w:before="0" w:lineRule="auto" w:line="276"/>
              <w:jc w:val="left"/>
            </w:pPr>
            <w:r>
              <w:rPr>
                <w:rFonts w:ascii="Times New Roman" w:hAnsi="Times New Roman" w:cs="Times New Roman" w:eastAsia="Times New Roman"/>
                <w:b w:val="false"/>
                <w:sz w:val="26"/>
              </w:rPr>
              <w:t>Hướng dẫn thực hiện Quyết định số 290/2005/QĐ-TTg ngày 08/11/2005 về chế độ, chính sách đối với một số đối tượng trực tiếp tham gia kháng chiến chống mỹ cứu nước nhưng chưa được hưởng chính sách của Đảng và Nhà nước</w:t>
            </w:r>
          </w:p>
        </w:tc>
        <w:tc>
          <w:p/>
          <w:p>
            <w:pPr>
              <w:spacing w:after="0" w:before="0" w:lineRule="auto" w:line="276"/>
              <w:jc w:val="left"/>
            </w:pPr>
            <w:r>
              <w:rPr>
                <w:rFonts w:ascii="Times New Roman" w:hAnsi="Times New Roman" w:cs="Times New Roman" w:eastAsia="Times New Roman"/>
                <w:b w:val="false"/>
                <w:sz w:val="26"/>
              </w:rPr>
              <w:t>07-12-2005</w:t>
            </w:r>
          </w:p>
        </w:tc>
        <w:tc>
          <w:p/>
          <w:p>
            <w:pPr>
              <w:spacing w:after="0" w:before="0" w:lineRule="auto" w:line="276"/>
              <w:jc w:val="left"/>
            </w:pPr>
            <w:r>
              <w:rPr>
                <w:rFonts w:ascii="Times New Roman" w:hAnsi="Times New Roman" w:cs="Times New Roman" w:eastAsia="Times New Roman"/>
                <w:b w:val="false"/>
                <w:sz w:val="26"/>
              </w:rPr>
              <w:t>Bộ Quốc phòng</w:t>
            </w:r>
          </w:p>
        </w:tc>
      </w:tr>
      <w:tr>
        <w:tc>
          <w:p/>
          <w:p>
            <w:pPr>
              <w:spacing w:after="0" w:before="0" w:lineRule="auto" w:line="276"/>
              <w:jc w:val="left"/>
            </w:pPr>
            <w:r>
              <w:rPr>
                <w:rFonts w:ascii="Times New Roman" w:hAnsi="Times New Roman" w:cs="Times New Roman" w:eastAsia="Times New Roman"/>
                <w:b w:val="false"/>
                <w:sz w:val="26"/>
              </w:rPr>
              <w:t>188/2007/QĐ-TTg</w:t>
            </w:r>
          </w:p>
        </w:tc>
        <w:tc>
          <w:p/>
          <w:p>
            <w:pPr>
              <w:spacing w:after="0" w:before="0" w:lineRule="auto" w:line="276"/>
              <w:jc w:val="left"/>
            </w:pPr>
            <w:r>
              <w:rPr>
                <w:rFonts w:ascii="Times New Roman" w:hAnsi="Times New Roman" w:cs="Times New Roman" w:eastAsia="Times New Roman"/>
                <w:b w:val="false"/>
                <w:sz w:val="26"/>
              </w:rPr>
              <w:t>Về việc sửa đổi, bổ sung Quyết định số 290/2005/QĐ-TTg ngày 08/11/2005 của Thủ tướng Chính phủ về chế độ, chính sách đối với một số đối tượng trực tiếp tham gia kháng chiến chống Mỹ cứu nước nhưng chưa được hưởng chính sách của Đảng và Nhà nước</w:t>
            </w:r>
          </w:p>
        </w:tc>
        <w:tc>
          <w:p/>
          <w:p>
            <w:pPr>
              <w:spacing w:after="0" w:before="0" w:lineRule="auto" w:line="276"/>
              <w:jc w:val="left"/>
            </w:pPr>
            <w:r>
              <w:rPr>
                <w:rFonts w:ascii="Times New Roman" w:hAnsi="Times New Roman" w:cs="Times New Roman" w:eastAsia="Times New Roman"/>
                <w:b w:val="false"/>
                <w:sz w:val="26"/>
              </w:rPr>
              <w:t>06-12-2007</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21/2008/TTLT- BQP-BLĐTBXH-BTC</w:t>
            </w:r>
          </w:p>
        </w:tc>
        <w:tc>
          <w:p/>
          <w:p>
            <w:pPr>
              <w:spacing w:after="0" w:before="0" w:lineRule="auto" w:line="276"/>
              <w:jc w:val="left"/>
            </w:pPr>
            <w:r>
              <w:rPr>
                <w:rFonts w:ascii="Times New Roman" w:hAnsi="Times New Roman" w:cs="Times New Roman" w:eastAsia="Times New Roman"/>
                <w:b w:val="false"/>
                <w:sz w:val="26"/>
              </w:rPr>
              <w:t>Sửa đổi, bổ sung Thông tư liên tịch số 191/2005/TTLT-BQP-BLĐTBXH-BTC ngày 07 tháng 12 năm 2005 của Bộ Quốc phòng, Bộ Lao động-Thương binh và Xã hội, Bộ Tài chính hướng dẫn thực hiện Quyết định số 290/2005/QĐ-TTg ngày 08 tháng 11 năm 2005 về chế độ, chính sách đối với một số đối tượng trực tiếp tham gia kháng chiến chống Mỹ cứu nước nhưng chưa được hưởng chính sách của Đảng và Nhà nước</w:t>
            </w:r>
          </w:p>
        </w:tc>
        <w:tc>
          <w:p/>
          <w:p>
            <w:pPr>
              <w:spacing w:after="0" w:before="0" w:lineRule="auto" w:line="276"/>
              <w:jc w:val="left"/>
            </w:pPr>
            <w:r>
              <w:rPr>
                <w:rFonts w:ascii="Times New Roman" w:hAnsi="Times New Roman" w:cs="Times New Roman" w:eastAsia="Times New Roman"/>
                <w:b w:val="false"/>
                <w:sz w:val="26"/>
              </w:rPr>
              <w:t>26-02-2008</w:t>
            </w:r>
          </w:p>
        </w:tc>
        <w:tc>
          <w:p/>
          <w:p>
            <w:pPr>
              <w:spacing w:after="0" w:before="0" w:lineRule="auto" w:line="276"/>
              <w:jc w:val="left"/>
            </w:pPr>
            <w:r>
              <w:rPr>
                <w:rFonts w:ascii="Times New Roman" w:hAnsi="Times New Roman" w:cs="Times New Roman" w:eastAsia="Times New Roman"/>
                <w:b w:val="false"/>
                <w:sz w:val="26"/>
              </w:rPr>
              <w:t>Bộ Quốc phòng</w:t>
            </w:r>
          </w:p>
        </w:tc>
      </w:tr>
      <w:tr>
        <w:tc>
          <w:p/>
          <w:p>
            <w:pPr>
              <w:spacing w:after="0" w:before="0" w:lineRule="auto" w:line="276"/>
              <w:jc w:val="left"/>
            </w:pPr>
            <w:r>
              <w:rPr>
                <w:rFonts w:ascii="Times New Roman" w:hAnsi="Times New Roman" w:cs="Times New Roman" w:eastAsia="Times New Roman"/>
                <w:b w:val="false"/>
                <w:sz w:val="26"/>
              </w:rPr>
              <w:t>Thông tư số 104/2024/TT-BQP</w:t>
            </w:r>
          </w:p>
        </w:tc>
        <w:tc>
          <w:p/>
          <w:p>
            <w:pPr>
              <w:spacing w:after="0" w:before="0" w:lineRule="auto" w:line="276"/>
              <w:jc w:val="left"/>
            </w:pPr>
            <w:r>
              <w:rPr>
                <w:rFonts w:ascii="Times New Roman" w:hAnsi="Times New Roman" w:cs="Times New Roman" w:eastAsia="Times New Roman"/>
                <w:b w:val="false"/>
                <w:sz w:val="26"/>
              </w:rPr>
              <w:t>Thông tư thay thế, bãi bỏ một số quy định, mẫu biểu tại các một số quy định, mẫu biểu tại các Thông tư liên tịch của Bộ Quốc phòng, Bộ Lao động - Thương binh và Xã hội, Bộ Tài chính liên quan đến việc kê khai thông tin cá nhân khi thực hiện thủ tục hành chính</w:t>
            </w:r>
          </w:p>
        </w:tc>
        <w:tc>
          <w:p/>
          <w:p>
            <w:pPr>
              <w:spacing w:after="0" w:before="0" w:lineRule="auto" w:line="276"/>
              <w:jc w:val="left"/>
            </w:pPr>
            <w:r>
              <w:rPr>
                <w:rFonts w:ascii="Times New Roman" w:hAnsi="Times New Roman" w:cs="Times New Roman" w:eastAsia="Times New Roman"/>
                <w:b w:val="false"/>
                <w:sz w:val="26"/>
              </w:rPr>
              <w:t>27-11-2024</w:t>
            </w:r>
          </w:p>
        </w:tc>
        <w:tc>
          <w:p/>
          <w:p>
            <w:pPr>
              <w:spacing w:after="0" w:before="0" w:lineRule="auto" w:line="276"/>
              <w:jc w:val="left"/>
            </w:pPr>
            <w:r>
              <w:rPr>
                <w:rFonts w:ascii="Times New Roman" w:hAnsi="Times New Roman" w:cs="Times New Roman" w:eastAsia="Times New Roman"/>
                <w:b w:val="false"/>
                <w:sz w:val="26"/>
              </w:rPr>
              <w:t>Bộ trưởng 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Hạ sĩ quan, chiến sĩ quân đội, tham gia chiến đấu và hoạt động tại chiến trường B, C, K trong khoảng thời gian từ tháng 7/1954 đến 30/4/1975, nhưng không có thân nhân phải trực tiếp nuôi dưỡng ở miền Bắc.
- Điểm a, khoản 1 Mục I Thông tư liên tịch số 21/2008/TTLT-BQP-BLĐTBXH-BTC ngày 26/02/2008 của Bộ Quốc phòng, Bộ Lao động Thương binh và Xã hội, Bộ Tài chính sửa  đổi, bổ  sung Thông tư liên tịch số 191/2005/TTLT-BQP-BLĐTBXH-BTC ngày 07/12/2005 của Bộ Quốc  phòng, Bộ Lao động Thương binh và  Xã  hội, Bộ  Tài chính hướng dẫn thực hiện Quyết định số 290/2005/QĐ-TTg ngày 08/11/2005 của Thủ tướng Chính phủ về chế độ, chính sách đối với một số đối tượng trực tiếp tham gia kháng chiến chống Mỹ cứu nước nhưng chưa được hưởng chính sách của Đảng và Nhà nước.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2026-05-20T08:04:14Z</dcterms:created>
  <dc:creator>Apache POI</dc:creator>
</cp:coreProperties>
</file>