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2.001921.000.00.00.H19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vị trí, quy mô, kích thước, phương án tổ chức thi công biển quảng cáo, biển thông tin cổ động, tuyên truyền chính trị; chấp thuận xây dựng, lắp đặt công trình hạ tầng, công trình hạ tầng kỹ thuật sử dụng chung trong phạm vi bảo vệ kết cấu hạ tầng đường bộ; chấp thuận gia cường công trình đường bộ khi cần thiết để cho phép xe quá khổ giới hạn, xe quá tải trọng, xe bánh xích lưu hành trên đường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nộp hồ sơ đến cơ quan có thẩm quyền:
- Đối với quốc lộ quy định tại khoản 3 Điều 8 Luật Đường bộ, trừ trường hợp quy định tại khoản 2 Điều 17 của Nghị định số 165/2024/NĐ-CP và thuộc thẩm quyền của Sở Xây dựng:
+ Cục Đường bộ Việt Nam thực hiện đối với đường bộ cao tốc, hầm đường bộ, công trình hạ tầng đi qua địa bàn hai tỉnh trở lên, công trình hạ tầng lắp đặt vào cầu phải bổ sung kết cấu gia cố, khi cần đào, khoan, cắt, xẻ quốc lộ cấp III trở lên, công trình hạ tầng theo đề nghị của cơ quan quân sự, cơ quan công an, trừ trường hợp chấp thuận xây dựng, gia cường đồng thời với cấp giấy phép thi công công trình trên đường bộ đang khai thác;
+ Khu Quản lý đường bộ thực hiện đối với các trường hợp còn lại thuộc phạm vi quản lý;
- Sở Xây dựng thực hiện đối với các trường hợp: quốc lộ quy định tại khoản 4 Điều 8 Luật Đường bộ và quy định tại khoản 1 Điều 4, khoản 1 Điều 5, khoản 1 Điều 6 của Nghị định số 165/2024/NĐ-CP; đường bộ tại đô thị, đường khác thuộc phạm vi được giao quản lý;
- Ủy ban nhân dân cấp xã thực hiện đối với đường thuộc phạm vi quản lý, trừ trường hợp thuộc thẩm quyền của Sở Xây dựng.
b) Giải quyết TTHC:
Cơ quan có thẩm quyền giải quyết thủ tục hành chính thực hiện tiếp nhận, kiểm tra hồ sơ và xử lý như sau:
- Đối với trường hợp nộp trực tiếp, sau khi kiểm tra thành phần hồ sơ, nếu đúng quy định thì tiếp nhận hồ sơ và viết phiếu hẹn trả kết quả; hướng dẫn tổ chức, cá nhân hoàn thiện hồ sơ đối với trường hợp không đủ thành phần hồ sơ;
- Đối với trường hợp nộp gián tiếp, trong phạm vi 02 ngày làm việc kể từ ngày nhận được hồ sơ, kiểm tra thành phần hồ sơ, nếu không đủ thành phần hồ sơ có văn bản thông báo đến tổ chức, cá nhân để bổ sung, hoàn thiện;
- Trong thời hạn 07 ngày làm việc kể từ khi nhận đủ hồ sơ theo quy định, cơ quan có thẩm quyền giải quyết thủ tục hành chính tiến hành thẩm định hồ sơ, nếu đủ điều kiện thì có văn bản chấp thuận vị trí, quy mô, kích thước, phương án tổ chức giao thông biển quảng cáo, biển thông tin cổ động, tuyên truyền chính trị; chấp thuận xây dựng, lắp đặt công trình hạ tầng, công trình hạ tầng kỹ thuật sử dụng chung trong phạm vi bảo vệ kết cấu hạ tầng đường bộ đang khai thác; chấp thuận xây dựng, gia cường đồng thời với cấp giấy phép thi công công trình trên đường bộ đang khai thác. Trường hợp không chấp thuận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7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chấp thuận vị trí, quy mô, kích thước biển quảng cáo, biển thông tin cổ động, tuyên truyền chính trị, xây dựng, lắp đặt công trình hạ tầng, công trình hạ tầng kỹ thuật sử dụng chung trong phạm vi bảo vệ kết cấu hạ tầng đường bộ,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Thuyết minh thiết kế, vị trí xây dựng, lắp đặt biển quảng cáo, biển thông tin cổ động, tuyên truyền chính trị, công trình hạ tầng và công trình hạ tầng kỹ thuật sử dụng chung trong phạm vi bảo vệ kết cấu hạ tầng đường bộ. Đối với công trình lắp đặt vào cầu, hầm, công trình, hạng mục công trình đường bộ thuộc kết cấu chịu lực, phải có kết quả tính toán bảo đảm khả năng chịu lực của kết cấu đối với tải trọng, tác động của gió khi lắp đặt các công trình này vào công trình đường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các bản vẽ thiết kế, bao gồm bản vẽ bố trí chung, các bản vẽ mặt cắt đứng, mặt cắt ngang và các bản vẽ thiết kế chi tiết thể hiện cụ thể: quy mô, kích thước, diện tích, cấu tạo chi tiết của công trình đề nghị chấp thuận; vị trí công trình đề nghị trên đoạn đường; khoảng cách từ mép ngoài công trình đề nghị đến mép ngoài mặt đường, tim đường, chiều sâu công trình đến mặt đường và các khoảng cách khác đến các hạng mục công trình cầu, cống, hầm có liên quan đến công trình đề nghị. Đối với biển thông tin cổ động, tuyên truyền chính trị, công trình hạ tầng và công trình hạ tầng kỹ thuật sử dụng chung xây dựng, lắp đặt trong phạm vi dải phân cách giữa của đường bộ, phải có thông tin về khoảng cách từ biển thông tin cổ động, tuyên truyền chính trị và các công trình đến: bề mặt dải phân cách giữa, mép dải phân cách giữa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các bản vẽ thiết kế kết cấu và biện pháp thi công hoàn trả công trình đường bộ bị ảnh 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(bản chính) theo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biển quảng cáo được xây dựng, lắp đặt trong hành lang an toàn đường bộ thì phải có bản chính hoặc bản sao (có chứng thực) phương án thi công để bảo đảm an toàn giao thông, an toàn cho công trình đường bộ và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việc thi công xây dựng đường dây tải điện, dây dẫn điện điện áp từ 35 kV trở xuống, đường dây thông tin, viễn thông, gia cường công trình đường bộ (khi cần thiết để cho phép xe quá khổ giới hạn, xe quá tải trọng, xe bánh xích lưu hành trên đường bộ), trừ các trường hợp không phải cấp giấy phép thi công theo quy định tại khoản 3 Điều 32 Luật Đường bộ, thành phần hồ sơ đề nghị chấp thuận xây dựng, gia cường được thực hiện đồng thời với hồ sơ cấp giấy phép thi công công trình trên đường bộ đang khai thác.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(bản chính) chấp thuận đồng thời với cấp giấy phép thi công công trình trên đường bộ đang khai thác theo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Biện pháp thi công, phương án tổ chức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Cấp tỉnh: nộp trực tiếp tại Trung tâm hành chính công tỉnh - Cấp xã: nộp trực tiếp tại Trung tâm phục vụ hành chính công cấp xã. - Qua dịch vụ Bưu chính công ích. - Trực tuyến Qua Cổng DVC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vị trí, quy mô, kích thước biển quảng cáo, biển thông tin cổ động, tuyên truyền chính trị, Văn bản chấp thuận xây dựng, lắp đặt công trình hạ tầng, công trình hạ tầng kỹ thuật sử dụng chung trong phạm vi bảo vệ kết cấu hạ tầng đường bộ, Văn bản chấp thuận xây dựng công trình hạ tầng trong phạm vi bảo vệ kết cấu hạ tầng đường bộ, gia cường công trình đường bộ đồng thời với cấp giấy phép thi công công trình trên đường bộ đang khai thác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165/2024/NĐ-CP</w:t>
            </w:r>
          </w:p>
        </w:tc>
        <w:tc>
          <w:p/>
          <w:p>
            <w:pPr>
              <w:spacing w:after="0" w:before="0" w:lineRule="auto" w:line="276"/>
              <w:jc w:val="left"/>
            </w:pPr>
            <w:r>
              <w:rPr>
                <w:rFonts w:ascii="Times New Roman" w:hAnsi="Times New Roman" w:cs="Times New Roman" w:eastAsia="Times New Roman"/>
                <w:b w:val="false"/>
                <w:sz w:val="26"/>
              </w:rPr>
              <w:t>Quy định chi tiết, hướng dẫn thi hành một số điều của Luật Đường bộ và Điều 77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26-12-2024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871/QĐ-BXD</w:t>
            </w:r>
          </w:p>
        </w:tc>
        <w:tc>
          <w:p/>
          <w:p>
            <w:pPr>
              <w:spacing w:after="0" w:before="0" w:lineRule="auto" w:line="276"/>
              <w:jc w:val="left"/>
            </w:pPr>
            <w:r>
              <w:rPr>
                <w:rFonts w:ascii="Times New Roman" w:hAnsi="Times New Roman" w:cs="Times New Roman" w:eastAsia="Times New Roman"/>
                <w:b w:val="false"/>
                <w:sz w:val="26"/>
              </w:rPr>
              <w:t>Quyết định số 871/QĐ-BXD ngày 19/6/2025 về việc công bố thủ tục hành chính được sửa đổi, bổ sung trong lĩnh vực đường bộ thuộc phạm vi chức năng quản lý của Bộ Xây dựng</w:t>
            </w:r>
          </w:p>
        </w:tc>
        <w:tc>
          <w:p/>
          <w:p>
            <w:pPr>
              <w:spacing w:after="0" w:before="0" w:lineRule="auto" w:line="276"/>
              <w:jc w:val="left"/>
            </w:pPr>
            <w:r>
              <w:rPr>
                <w:rFonts w:ascii="Times New Roman" w:hAnsi="Times New Roman" w:cs="Times New Roman" w:eastAsia="Times New Roman"/>
                <w:b w:val="false"/>
                <w:sz w:val="26"/>
              </w:rPr>
              <w:t>19-06-2025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Điều 13, Điều 14, Điều 15 và Điều 16 Nghị định số 165/2024/NĐ-CP ngày 26/12/2024 của Chính phủ quy định chi tiết, hướng dẫn thi hành một số điều của Luật Đường bộ và Điều 77 Luật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2026-04-30T13:28:43Z</dcterms:created>
  <dc:creator>Apache POI</dc:creator>
</cp:coreProperties>
</file>