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gia thanh toán bù trừ điện tử liên ngân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thanh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Các Ngân hàng, tổ chức khác được làm dịch vụ thanh toán hoạt động trên lãnh thổ Việt Nam (gọi là ngân hàng xin tham gia thanh toán bù trừ điện tử) khi có nhu cầu tham gia thanh toán bù trừ điện tử liên ngân hàng lập và gửi hồ sơ cho Ngân hàng Nhà nước chi nhánh tỉnh, thành phố, nơi mình mở tài khoản;</w:t>
      </w:r>
    </w:p>
    <w:p>
      <w:pPr>
        <w:spacing w:after="0" w:before="0" w:lineRule="auto" w:line="276"/>
        <w:jc w:val="both"/>
      </w:pPr>
      <w:r>
        <w:rPr>
          <w:rFonts w:ascii="Times New Roman" w:hAnsi="Times New Roman" w:cs="Times New Roman" w:eastAsia="Times New Roman"/>
          <w:b w:val="false"/>
          <w:sz w:val="26"/>
        </w:rPr>
        <w:t>- Bước 2: 
Khi nhận được đơn và hồ sơ của ngân hàng xin tham gia thanh toán bù trừ điện tử, sau khi kiểm tra, rà soát nếu có đủ các điều kiện, tiêu chuẩn của ngân hàng thành viên thanh toán điện tử liên ngân hàng và thực hiện đúng thủ tục xin tham gia thanh toán bù trừ điện tử theo quy định thì Ngân hàng Nhà nước chi nhánh tỉnh, thành phố (Ngân hàng chủ trì) chấp nhận, kết nạp ngân hàng thành viên tham gia thanh toán bù trừ điện tử liên ngân hàng.
Trường hợp ngân hàng xin tham gia thanh toán bù trừ không đủ điều kiện, tiêu chuẩn để kết nạp ngân hàng thành viên tham gia thanh toán bù trừ điện tử liên ngân hàng thì Ngân hàng chủ trì phải có văn bản từ chối và nêu rõ lý do.</w:t>
      </w:r>
    </w:p>
    <w:p>
      <w:pPr>
        <w:spacing w:after="0" w:before="0" w:lineRule="auto" w:line="276"/>
        <w:jc w:val="both"/>
      </w:pPr>
      <w:r>
        <w:rPr>
          <w:rFonts w:ascii="Times New Roman" w:hAnsi="Times New Roman" w:cs="Times New Roman" w:eastAsia="Times New Roman"/>
          <w:b w:val="false"/>
          <w:sz w:val="26"/>
        </w:rPr>
        <w:t>- Bước 3:
Ngân hàng chủ trì thông báo bằng văn bản danh sách các ngân hàng thành viên mới được kết nạp cho tất cả các ngân hàng thành viên có liên quan biết trước 7 ngày để chuẩn bị thực hiện giao dịch thanh toán bù trừ điện tử.</w:t>
      </w:r>
    </w:p>
    <w:p>
      <w:pPr>
        <w:spacing w:after="0" w:before="0" w:lineRule="auto" w:line="276"/>
        <w:jc w:val="both"/>
      </w:pPr>
      <w:r>
        <w:rPr>
          <w:rFonts w:ascii="Times New Roman" w:hAnsi="Times New Roman" w:cs="Times New Roman" w:eastAsia="Times New Roman"/>
          <w:b w:val="false"/>
          <w:sz w:val="26"/>
        </w:rPr>
        <w:t>- Bước 4:
Sau khi được Ngân hàng chủ trì chấp thuận bằng văn bản công nhận là thành viên tham gia thanh toán bù trừ điện tử liên ngân hàng, Giám đốc ngân hàng thành viên phải có văn bản giới thiệu các bộ (Giám đốc hoặc người ủy quyền, Trưởng phòng kế toán hoặc người ủy quyền, kế toán viên thanh toán bù trừ) tham gia vào quy trình kỹ thuật nghiệp vụ thanh toán bù trừ điện tử, trong đó xác định rõ nhiệm vụ, trách nhiệm từng cán bộ được giới thiệu để thực hiện các phần công việc trong thanh toán bù trừ điện tử.Bản giới thiệu này được gửi trực tiếp tới Ngân hàng Nhà nước chi nhánh tỉnh, thành phố (Ngân hàng chủ trì).</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tham gia thanh toán bù trừ điện tử liên Ngân hàng (theo mẫu tại Phụ lục số 13)</w:t>
            </w:r>
          </w:p>
        </w:tc>
        <w:tc>
          <w:p/>
          <w:p>
            <w:pPr>
              <w:spacing w:after="0" w:before="0" w:lineRule="auto" w:line="276"/>
              <w:jc w:val="left"/>
            </w:pPr>
            <w:r>
              <w:rPr>
                <w:rFonts w:ascii="Times New Roman" w:hAnsi="Times New Roman" w:cs="Times New Roman" w:eastAsia="Times New Roman"/>
                <w:b w:val="false"/>
                <w:sz w:val="26"/>
              </w:rPr>
              <w:t>donxinthamgiathanhtoanbutruLNH.doc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thực hiện các quy định có liên quan khi tử thành Ngân hàng thành viên tham gia thanh toán bù trừ điện tử liên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NHNN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nhận là thành viên tham gia thanh toán bù trừ điện tử liên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64/2001/NĐ-CP</w:t>
            </w:r>
          </w:p>
        </w:tc>
        <w:tc>
          <w:p/>
          <w:p>
            <w:pPr>
              <w:spacing w:after="0" w:before="0" w:lineRule="auto" w:line="276"/>
              <w:jc w:val="left"/>
            </w:pPr>
            <w:r>
              <w:rPr>
                <w:rFonts w:ascii="Times New Roman" w:hAnsi="Times New Roman" w:cs="Times New Roman" w:eastAsia="Times New Roman"/>
                <w:b w:val="false"/>
                <w:sz w:val="26"/>
              </w:rPr>
              <w:t>	 Nghị định 64/2001/NĐ-CP</w:t>
            </w:r>
          </w:p>
        </w:tc>
        <w:tc>
          <w:p/>
          <w:p>
            <w:pPr>
              <w:spacing w:after="0" w:before="0" w:lineRule="auto" w:line="276"/>
              <w:jc w:val="left"/>
            </w:pPr>
            <w:r>
              <w:rPr>
                <w:rFonts w:ascii="Times New Roman" w:hAnsi="Times New Roman" w:cs="Times New Roman" w:eastAsia="Times New Roman"/>
                <w:b w:val="false"/>
                <w:sz w:val="26"/>
              </w:rPr>
              <w:t>20-09-2001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1557/2001/QĐ-NHNN</w:t>
            </w:r>
          </w:p>
        </w:tc>
        <w:tc>
          <w:p/>
          <w:p>
            <w:pPr>
              <w:spacing w:after="0" w:before="0" w:lineRule="auto" w:line="276"/>
              <w:jc w:val="left"/>
            </w:pPr>
            <w:r>
              <w:rPr>
                <w:rFonts w:ascii="Times New Roman" w:hAnsi="Times New Roman" w:cs="Times New Roman" w:eastAsia="Times New Roman"/>
                <w:b w:val="false"/>
                <w:sz w:val="26"/>
              </w:rPr>
              <w:t>Quyết định 1557/2001/QĐ-NHNN</w:t>
            </w:r>
          </w:p>
        </w:tc>
        <w:tc>
          <w:p/>
          <w:p>
            <w:pPr>
              <w:spacing w:after="0" w:before="0" w:lineRule="auto" w:line="276"/>
              <w:jc w:val="left"/>
            </w:pPr>
            <w:r>
              <w:rPr>
                <w:rFonts w:ascii="Times New Roman" w:hAnsi="Times New Roman" w:cs="Times New Roman" w:eastAsia="Times New Roman"/>
                <w:b w:val="false"/>
                <w:sz w:val="26"/>
              </w:rPr>
              <w:t>14-12-2001</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457/2003/QĐ-NHNN</w:t>
            </w:r>
          </w:p>
        </w:tc>
        <w:tc>
          <w:p/>
          <w:p>
            <w:pPr>
              <w:spacing w:after="0" w:before="0" w:lineRule="auto" w:line="276"/>
              <w:jc w:val="left"/>
            </w:pPr>
            <w:r>
              <w:rPr>
                <w:rFonts w:ascii="Times New Roman" w:hAnsi="Times New Roman" w:cs="Times New Roman" w:eastAsia="Times New Roman"/>
                <w:b w:val="false"/>
                <w:sz w:val="26"/>
              </w:rPr>
              <w:t>Quyết định 457/2003/QĐ-NHNN</w:t>
            </w:r>
          </w:p>
        </w:tc>
        <w:tc>
          <w:p/>
          <w:p>
            <w:pPr>
              <w:spacing w:after="0" w:before="0" w:lineRule="auto" w:line="276"/>
              <w:jc w:val="left"/>
            </w:pPr>
            <w:r>
              <w:rPr>
                <w:rFonts w:ascii="Times New Roman" w:hAnsi="Times New Roman" w:cs="Times New Roman" w:eastAsia="Times New Roman"/>
                <w:b w:val="false"/>
                <w:sz w:val="26"/>
              </w:rPr>
              <w:t>12-05-2003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456/2003/QĐ-NHNN</w:t>
            </w:r>
          </w:p>
        </w:tc>
        <w:tc>
          <w:p/>
          <w:p>
            <w:pPr>
              <w:spacing w:after="0" w:before="0" w:lineRule="auto" w:line="276"/>
              <w:jc w:val="left"/>
            </w:pPr>
            <w:r>
              <w:rPr>
                <w:rFonts w:ascii="Times New Roman" w:hAnsi="Times New Roman" w:cs="Times New Roman" w:eastAsia="Times New Roman"/>
                <w:b w:val="false"/>
                <w:sz w:val="26"/>
              </w:rPr>
              <w:t>Quyết định 456/2003/QĐ-NHNN</w:t>
            </w:r>
          </w:p>
        </w:tc>
        <w:tc>
          <w:p/>
          <w:p>
            <w:pPr>
              <w:spacing w:after="0" w:before="0" w:lineRule="auto" w:line="276"/>
              <w:jc w:val="left"/>
            </w:pPr>
            <w:r>
              <w:rPr>
                <w:rFonts w:ascii="Times New Roman" w:hAnsi="Times New Roman" w:cs="Times New Roman" w:eastAsia="Times New Roman"/>
                <w:b w:val="false"/>
                <w:sz w:val="26"/>
              </w:rPr>
              <w:t>12-05-2003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điều kiện phải có:
- Có quyết định thành lập, giấy phép thành lập và hoạt động, giấy chứng nhận đăng ký kinh doanh và được cấp giấy phép hoạt động dịch vụ về thanh toán.
- Đã mở tài khoản tiền gửi thanh toán tại Sở giao dịch Ngân hàng Nhà nước và thường xuyên đảm bảo khả năng thanh toán.
- Có quá trình chấp hành tốt chế độ và kỷ luật thanh toán không dùng tiền mặt, chế độ chứng từ, chế độ hạch toán kế toán.
- Có cam kết thực hiện nghiêm túc, đầy đủ các quy chế, quy định liên quan đến thanh toán điện tử liên Ngân hàng do Ngân hàng Nhà nước ban hành, gồm:
+ Quy chế chuyển tiền điện tử.
+ Quy chế thanh toán bù trừ điện tử.
+ Quy chế về truyền tin và xử lý số liệu thông tin.
+ Quy định về lập, luân chuyển và bảo quản chứng từ.
+ Quy định về hạch toán trong các đơn vị Ngân hàng.
+ Quy định về mã Ngân hàng, về chứng từ, ngoại tệ.
+ Quy định về trả phí dịch vụ thanh toán.
b) Các tiêu chuẩn cần thiết:
- Trang thiết bị kỹ thuật đủ tiêu chuẩn để thực hiện thanh toán điện tử liên ngân hàng:
+ Đã có đủ các loại máy móc thiết bị tin học để thực hiện và xử lý được các nghiệp vụ thanh toán phát sinh do Ngân hàng thực hiện.
+ Xây dựng các phần mềm thích ứng, phù hợp để kết nối phần mềm thanh toán điện tử liên Ngân hàng, gồm phần kết nối vào mạng thanh toán điện tử liên Ngân hàng và các biện pháp bảo mật đảm bảo an toàn tài sản.
+ Có hạ tầng công nghệ thông tin theo các chuẩn mực quy định của Ngân hàng Nhà nước và đáp ứng được yêu cầu của thanh toán điện tử liên ngân hàng cũng như thanh toán nội bộ trong một ngân hàng.
- Có phát sinh các nghiệp vụ thanh toán liên ngân hàng (bao gồm thanh toán séc, chuyển tiền giữa các ngân hàng, thanh toán bù trừ…) có khối lượng giao dịch thanh toán liên ngân hàng (khác ngân hàng) tối thiểu 30 món/ngày.
- Cam kết ban hành các văn bản hướng dẫn và chỉ đạo kiểm tra các đơn vị trực thuộc thực hiện đúng các quy định của Ngân hàng Nhà nước.
- Cam kết chấp hành kỷ luật tín dụng đối với khoản thiếu hụt vốn trong thanh toán theo cơ chế thị trường (lãi suất cao hơn thị trường) khi được vay trên thị trường liên ngân hàng, vay các ngân hàng thương mại hoặc vay Ngân hàng Nhà nước.
- Có đội ngũ cán bộ có trình độ để làm tốt các nghiệp vụ kế toán, thanh toán, phải nắm vững:
+ Kế toán ngân hàng,
+ Xử lý thành thạo quy trình nghiệp vụ thanh toán,
+ Xử lý được nghiệp vụ kỹ thuật và thanh toán trên máy vi tính.
- Có đầy đủ quy trình hạch toán, luân chuyển, xử lý, bảo quản tài liệu kế toán theo đúng các quy định của Ngân hàng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2026-05-21T16:46:09Z</dcterms:created>
  <dc:creator>Apache POI</dc:creator>
</cp:coreProperties>
</file>