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2.001688.000.00.00.H12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chia, tách; sáp nhập; hợp nhất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Ban lãnh đạo hội gửi hồ sơ xin chia, tách; sáp nhập; hợp nhất hội đến Ủy ban nhân dân cấp tỉnh (Sở Nội vụ).</w:t>
      </w:r>
    </w:p>
    <w:p>
      <w:pPr>
        <w:spacing w:after="0" w:before="0" w:lineRule="auto" w:line="276"/>
        <w:jc w:val="both"/>
      </w:pPr>
      <w:r>
        <w:rPr>
          <w:rFonts w:ascii="Times New Roman" w:hAnsi="Times New Roman" w:cs="Times New Roman" w:eastAsia="Times New Roman"/>
          <w:b w:val="false"/>
          <w:sz w:val="26"/>
        </w:rPr>
        <w:t xml:space="preserve"> Bước 2: 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Bước 3: Kể từ ngày nhận hồ sơ đầy đủ và hợp pháp, Sở Nội vụ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Bước 4: Trong thời hạn 30 ngày làm việc kể từ ngày nhận hồ sơ đầy đủ và hợp pháp, Ủy ban nhân dân cấp tỉnh xem xét, quyết định cho phép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phải có xác nhận văn bản đến của cơ quan có thẩm quyền, nếu gửi qua đường bưu điện, thời gian được tính từ ngày đến trên phong bì.
30 ngày làm việc kể từ ngày Ủy ban nhân dân cấp tỉnh (Sở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ban lãnh đạo lâm thời của hội thành lập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và phiếu lý lịch tư pháp của người đứng đầu ban lãnh đạo lâm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 của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(Đơn đề nghị tách hội)</w:t>
            </w:r>
          </w:p>
        </w:tc>
        <w:tc>
          <w:p/>
          <w:p>
            <w:pPr>
              <w:spacing w:after="0" w:before="0" w:lineRule="auto" w:line="276"/>
              <w:jc w:val="left"/>
            </w:pPr>
            <w:r>
              <w:rPr>
                <w:rFonts w:ascii="Times New Roman" w:hAnsi="Times New Roman" w:cs="Times New Roman" w:eastAsia="Times New Roman"/>
                <w:b w:val="false"/>
                <w:sz w:val="26"/>
              </w:rPr>
              <w:t>Mẫu số 10.doc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chia hội)</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 nghị sáp nhập hội)</w:t>
            </w:r>
          </w:p>
        </w:tc>
        <w:tc>
          <w:p/>
          <w:p>
            <w:pPr>
              <w:spacing w:after="0" w:before="0" w:lineRule="auto" w:line="276"/>
              <w:jc w:val="left"/>
            </w:pPr>
            <w:r>
              <w:rPr>
                <w:rFonts w:ascii="Times New Roman" w:hAnsi="Times New Roman" w:cs="Times New Roman" w:eastAsia="Times New Roman"/>
                <w:b w:val="false"/>
                <w:sz w:val="26"/>
              </w:rPr>
              <w:t>Mẫu 12.doc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chia, tách; sáp nhập; hợp nhất hội (Mẫu đơn đền ghị hợp nhất hội)</w:t>
            </w:r>
          </w:p>
        </w:tc>
        <w:tc>
          <w:p/>
          <w:p>
            <w:pPr>
              <w:spacing w:after="0" w:before="0" w:lineRule="auto" w:line="276"/>
              <w:jc w:val="left"/>
            </w:pPr>
            <w:r>
              <w:rPr>
                <w:rFonts w:ascii="Times New Roman" w:hAnsi="Times New Roman" w:cs="Times New Roman" w:eastAsia="Times New Roman"/>
                <w:b w:val="false"/>
                <w:sz w:val="26"/>
              </w:rPr>
              <w:t>Mẫu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TTHC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Ủy ban nhân dân tỉnh - Tỉnh Cà Mau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Trong thời hạn 30 ngày kể từ khi có quyết định chia, tách; sáp nhập; hợp nhất hội, các hội mới được hình thành phải tổ chức đại hội để thông qua các nội dung được quy định tại Điều 11 Nghị định số 45/2010/NĐ-CP.
b) Các hội mới được hình thành do chia, tách; sáp nhập; hợp nhất lập 01 bộ hồ sơ theo quy định tại Điều 12 Nghị định số 45/2010/NĐ-CP gửi cơ quan nhà nước có thẩm quyền theo Điều 14 Nghị định số 45/2010/NĐ-CP để xem xét, phê duyệt điều lệ.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2026-05-01T10:11:25Z</dcterms:created>
  <dc:creator>Apache POI</dc:creator>
</cp:coreProperties>
</file>