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1.003900.000.00.00.H12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627/QĐ-UBND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báo cáo tổ chức đại hội nhiệm kỳ, đại hội bất thường của hội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Ban lãnh đạo hội gửi hồ sơ báo cáo về việc tổ chức đại hội nhiệm kỳ, đại hội bất thường đến Ủy ban nhân dân cấp tỉnh (Sở Nội vụ) và Sở quản lý ngành, lĩnh vực chính mà hội hoạt động.</w:t>
      </w:r>
    </w:p>
    <w:p>
      <w:pPr>
        <w:spacing w:after="0" w:before="0" w:lineRule="auto" w:line="276"/>
        <w:jc w:val="both"/>
      </w:pPr>
      <w:r>
        <w:rPr>
          <w:rFonts w:ascii="Times New Roman" w:hAnsi="Times New Roman" w:cs="Times New Roman" w:eastAsia="Times New Roman"/>
          <w:b w:val="false"/>
          <w:sz w:val="26"/>
        </w:rPr>
        <w:t>Bước 2: Cán bộ tiếp nhận hồ sơ xem xét hồ sơ và đề nghị bổ sung trong trường hợp hồ sơ chưa đầy đủ và hợp pháp.</w:t>
      </w:r>
    </w:p>
    <w:p>
      <w:pPr>
        <w:spacing w:after="0" w:before="0" w:lineRule="auto" w:line="276"/>
        <w:jc w:val="both"/>
      </w:pPr>
      <w:r>
        <w:rPr>
          <w:rFonts w:ascii="Times New Roman" w:hAnsi="Times New Roman" w:cs="Times New Roman" w:eastAsia="Times New Roman"/>
          <w:b w:val="false"/>
          <w:sz w:val="26"/>
        </w:rPr>
        <w:t>Bước 3: Kể từ ngày nhận hồ sơ đầy đủ và hợp pháp, Sở Nội vụ nghiên cứu, thẩm định hồ sơ và thực hiện quy trình lấy ý kiến các cơ quan có liên quan, tổng hợp các ý kiến góp ý, đề nghị bổ sung hồ sơ (nếu có).</w:t>
      </w:r>
    </w:p>
    <w:p>
      <w:pPr>
        <w:spacing w:after="0" w:before="0" w:lineRule="auto" w:line="276"/>
        <w:jc w:val="both"/>
      </w:pPr>
      <w:r>
        <w:rPr>
          <w:rFonts w:ascii="Times New Roman" w:hAnsi="Times New Roman" w:cs="Times New Roman" w:eastAsia="Times New Roman"/>
          <w:b w:val="false"/>
          <w:sz w:val="26"/>
        </w:rPr>
        <w:t xml:space="preserve"> Bước 4: Trong thời hạn 15 ngày kể từ ngày nhận hồ sơ báo cáo đầy đủ và hợp pháp, Ủy ban nhân dân cấp tỉnh có ý kiến bằng văn bản về việc tổ chức đại hội. Trường hợp cần lấy ý kiến cơ quan có liên quan đến ngành, lĩnh vực chính mà hội hoạt động thì chậm nhất không quá 25 ngày phải có ý kiến bằng văn bản về việc tổ chức đại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Hồ sơ phải có xác nhận văn bản đến của cơ quan có thẩm quyền, nếu gửi qua đường bưu điện, thời gian được tính từ ngày đến trên phong bì.
25 ngày làm việc kể từ ngày Ủy ban nhân dân cấp tỉnh (Sở Nội vụ)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Hồ sơ phải có xác nhận văn bản đến của cơ quan có thẩm quyền, nếu gửi qua đường bưu điện, thời gian được tính từ ngày đến trên phong bì.
25 ngày làm việc kể từ ngày Ủy ban nhân dân cấp tỉnh (Sở Nội vụ)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Hồ sơ phải có xác nhận văn bản đến của cơ quan có thẩm quyền, nếu gửi qua đường bưu điện, thời gian được tính từ ngày đến trên phong bì.
25 ngày làm việc kể từ ngày Ủy ban nhân dân cấp tỉnh (Sở Nội vụ) nhận hồ sơ đầy đủ và hợp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báo cáo tổ chức đại hội nhiệm kỳ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dự kiến nhân sự ban lãnh đạo, ban kiểm tra, trong đó nêu rõ tiêu chuẩn, cơ cấu, số lượng thành viên ban lãnh đạo, ban kiểm tra hội. Đối với nhân sự dự kiến là người đứng đầu hội phải có sơ yếu lý lịch, phiếu lý lịch tư pháp, văn bản đồng ý của cơ quan có thẩm quyền theo quy định về phân cấp quản lý cán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kiến thời gian, địa điểm tổ chức đại hội, số lượng đại biểu mời, đại biểu chính thức tham dự đại hội, dự kiến chương trình đại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số lượng hội viên, trong đó nêu rõ số hội viên chính thức của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hội dung khác thuộc thẩm quyền của đại hội theo quy định của điều lệ hội và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Nghị quyết của ban lãnh đạo hội về việc tổ chức đại hội nhiệm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báo cáo tổng kết công tác nhiệm kỳ và phương hướng hoạt động nhiệm kỳ tới của hội. Báo cáo kiểm điểm của ban lãnh đạo, ban kiểm tra và báo cáo tài chính của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điều lệ sửa đổi, bổ sung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báo cáo đại hội bất thường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Nghị quyết của ban lãnh đạo hội về việc tổ chức đại hội bất thường trong đó nêu rõ nội dung thảo luận và quyết định tại đại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những nội dung thảo luận và quyết định tại đại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kiến thời gian, địa điểm tổ chức đại hội, số lượng đại biểu mời, đại biểu chính thức tham dự đại hội, dự kiến chương trình đại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tỉnh Cà Mau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Giải quyết TTHC tỉnh Cà Mau</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Văn phòng Ủy ban nhân dân tỉnh - Tỉnh Cà Mau</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cho phép hội tổ chức đại hội nhiệm kỳ, đại hội bất thường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03/2013/TT-BNV</w:t>
            </w:r>
          </w:p>
        </w:tc>
        <w:tc>
          <w:p/>
          <w:p>
            <w:pPr>
              <w:spacing w:after="0" w:before="0" w:lineRule="auto" w:line="276"/>
              <w:jc w:val="left"/>
            </w:pPr>
            <w:r>
              <w:rPr>
                <w:rFonts w:ascii="Times New Roman" w:hAnsi="Times New Roman" w:cs="Times New Roman" w:eastAsia="Times New Roman"/>
                <w:b w:val="false"/>
                <w:sz w:val="26"/>
              </w:rPr>
              <w:t>Thông tư số 03/2013/TT-BNV ngày 16/4/2013 của Bộ trưởng Bộ Nội vụ Quy định chi tiết thi hành Nghị định số 45/2010/NĐ-CP ngày 21 tháng 4 năm 2010 của Chính phủ quy định về tổ chức, hoạt động và quản lý hội và Nghị định số 33/2012/NĐ-CP ngày 13 tháng 4 năm 2012 của Chính phủ sửa đổi, bổ sung một số điều của Nghị định số 45/2010/NĐ-CP</w:t>
            </w:r>
          </w:p>
        </w:tc>
        <w:tc>
          <w:p/>
          <w:p>
            <w:pPr>
              <w:spacing w:after="0" w:before="0" w:lineRule="auto" w:line="276"/>
              <w:jc w:val="left"/>
            </w:pPr>
            <w:r>
              <w:rPr>
                <w:rFonts w:ascii="Times New Roman" w:hAnsi="Times New Roman" w:cs="Times New Roman" w:eastAsia="Times New Roman"/>
                <w:b w:val="false"/>
                <w:sz w:val="26"/>
              </w:rPr>
              <w:t>16-04-2013</w:t>
            </w:r>
          </w:p>
        </w:tc>
        <w:tc>
          <w:p/>
        </w:tc>
      </w:tr>
      <w:tr>
        <w:tc>
          <w:p/>
          <w:p>
            <w:pPr>
              <w:spacing w:after="0" w:before="0" w:lineRule="auto" w:line="276"/>
              <w:jc w:val="left"/>
            </w:pPr>
            <w:r>
              <w:rPr>
                <w:rFonts w:ascii="Times New Roman" w:hAnsi="Times New Roman" w:cs="Times New Roman" w:eastAsia="Times New Roman"/>
                <w:b w:val="false"/>
                <w:sz w:val="26"/>
              </w:rPr>
              <w:t>03/2014/TT-BNV</w:t>
            </w:r>
          </w:p>
        </w:tc>
        <w:tc>
          <w:p/>
          <w:p>
            <w:pPr>
              <w:spacing w:after="0" w:before="0" w:lineRule="auto" w:line="276"/>
              <w:jc w:val="left"/>
            </w:pPr>
            <w:r>
              <w:rPr>
                <w:rFonts w:ascii="Times New Roman" w:hAnsi="Times New Roman" w:cs="Times New Roman" w:eastAsia="Times New Roman"/>
                <w:b w:val="false"/>
                <w:sz w:val="26"/>
              </w:rPr>
              <w:t>Thông tư số 03/2014/TT-BNV ngày 19/6/2014 của Bộ trưởng Bộ Nội vụ Sửa đổi Thông tư số 03/2013/TT-BNV ngày 16 tháng 4 năm 2013 của Bộ trưởng Bộ Nội vụ quy định chi tiết thi hành Nghị định số 45/2010/NĐ-CP ngày 21 tháng 4 năm 2010 của Chính phủ quy định về tổ chức, hoạt động và quản lý hội và Nghị định số 33/2012/NĐ-CP ngày 13 tháng 4 năm 2012 của Chính phủ sửa đổi, bổ sung một số điều của Nghị định số 45/2010/NĐ-CP</w:t>
            </w:r>
          </w:p>
        </w:tc>
        <w:tc>
          <w:p/>
          <w:p>
            <w:pPr>
              <w:spacing w:after="0" w:before="0" w:lineRule="auto" w:line="276"/>
              <w:jc w:val="left"/>
            </w:pPr>
            <w:r>
              <w:rPr>
                <w:rFonts w:ascii="Times New Roman" w:hAnsi="Times New Roman" w:cs="Times New Roman" w:eastAsia="Times New Roman"/>
                <w:b w:val="false"/>
                <w:sz w:val="26"/>
              </w:rPr>
              <w:t>19-06-2014</w:t>
            </w:r>
          </w:p>
        </w:tc>
        <w:tc>
          <w:p/>
        </w:tc>
      </w:tr>
      <w:tr>
        <w:tc>
          <w:p/>
          <w:p>
            <w:pPr>
              <w:spacing w:after="0" w:before="0" w:lineRule="auto" w:line="276"/>
              <w:jc w:val="left"/>
            </w:pPr>
            <w:r>
              <w:rPr>
                <w:rFonts w:ascii="Times New Roman" w:hAnsi="Times New Roman" w:cs="Times New Roman" w:eastAsia="Times New Roman"/>
                <w:b w:val="false"/>
                <w:sz w:val="26"/>
              </w:rPr>
              <w:t>33/2012/NĐ-CP</w:t>
            </w:r>
          </w:p>
        </w:tc>
        <w:tc>
          <w:p/>
          <w:p>
            <w:pPr>
              <w:spacing w:after="0" w:before="0" w:lineRule="auto" w:line="276"/>
              <w:jc w:val="left"/>
            </w:pPr>
            <w:r>
              <w:rPr>
                <w:rFonts w:ascii="Times New Roman" w:hAnsi="Times New Roman" w:cs="Times New Roman" w:eastAsia="Times New Roman"/>
                <w:b w:val="false"/>
                <w:sz w:val="26"/>
              </w:rPr>
              <w:t>Nghị định số 33/2012/NĐ-CP ngày 13/4/2012 của Chính phủ Sửa đổi, bổ sung một số điều của Nghị định số 45/2010/NĐ-CP ngày 21 tháng 4 năm 2010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13-04-2012</w:t>
            </w:r>
          </w:p>
        </w:tc>
        <w:tc>
          <w:p/>
        </w:tc>
      </w:tr>
      <w:tr>
        <w:tc>
          <w:p/>
          <w:p>
            <w:pPr>
              <w:spacing w:after="0" w:before="0" w:lineRule="auto" w:line="276"/>
              <w:jc w:val="left"/>
            </w:pPr>
            <w:r>
              <w:rPr>
                <w:rFonts w:ascii="Times New Roman" w:hAnsi="Times New Roman" w:cs="Times New Roman" w:eastAsia="Times New Roman"/>
                <w:b w:val="false"/>
                <w:sz w:val="26"/>
              </w:rPr>
              <w:t>45/2010/NĐ-CP</w:t>
            </w:r>
          </w:p>
        </w:tc>
        <w:tc>
          <w:p/>
          <w:p>
            <w:pPr>
              <w:spacing w:after="0" w:before="0" w:lineRule="auto" w:line="276"/>
              <w:jc w:val="left"/>
            </w:pPr>
            <w:r>
              <w:rPr>
                <w:rFonts w:ascii="Times New Roman" w:hAnsi="Times New Roman" w:cs="Times New Roman" w:eastAsia="Times New Roman"/>
                <w:b w:val="false"/>
                <w:sz w:val="26"/>
              </w:rPr>
              <w:t>Nghị định số 45/2010/NĐ-CP</w:t>
            </w:r>
          </w:p>
        </w:tc>
        <w:tc>
          <w:p/>
          <w:p>
            <w:pPr>
              <w:spacing w:after="0" w:before="0" w:lineRule="auto" w:line="276"/>
              <w:jc w:val="left"/>
            </w:pPr>
            <w:r>
              <w:rPr>
                <w:rFonts w:ascii="Times New Roman" w:hAnsi="Times New Roman" w:cs="Times New Roman" w:eastAsia="Times New Roman"/>
                <w:b w:val="false"/>
                <w:sz w:val="26"/>
              </w:rPr>
              <w:t>21-04-2010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Hội tổ chức đại hội nhiệm kỳ, đại hội bất thường sau khi có ý kiến bằng văn bản của cơ quan nhà nước có thẩm quyền. Trường hợp hội tổ chức đại hội mà không báo cáo theo quy định thì cơ quan nhà nước có thẩm quyền không phê duyệt điều lệ hội đã được thông qua.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2026-05-01T10:12:27Z</dcterms:created>
  <dc:creator>Apache POI</dc:creator>
</cp:coreProperties>
</file>