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1.001046.000.00.00.H19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819/QĐ-UBND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Chấp thuận thiết kế nút giao đấu nối vào đường quốc lộ đang khai thác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Chủ đầu tư dự án xây dựng nút giao đấu nối vào đường quốc lộ đang khai thác gửi hồ sơ đề nghị đến cơ quan có thẩm quyền:
- Đối với quốc lộ do Bộ Xây dựng quản lý:
+ Cục Đường bộ Việt Nam chấp thuận thiết kế nút giao đấu nối vào đường cao tốc, đường quốc lộ được quy hoạch thành cao tốc; 
+ Khu Quản lý đường bộ thực hiện đối với các đường quốc lộ còn lại thuộc phạm vi quản lý;
- Đối với quốc lộ do Uỷ ban nhân dân cấp tỉnh quản lý: Uỷ ban nhân dân cấp tỉnh tổ chức thực hiện chấp thuận thiết kế nút giao đấu nối vào đường quốc lộ đang khai thác.</w:t>
      </w:r>
    </w:p>
    <w:p>
      <w:pPr>
        <w:spacing w:after="0" w:before="0" w:lineRule="auto" w:line="276"/>
        <w:jc w:val="both"/>
      </w:pPr>
      <w:r>
        <w:rPr>
          <w:rFonts w:ascii="Times New Roman" w:hAnsi="Times New Roman" w:cs="Times New Roman" w:eastAsia="Times New Roman"/>
          <w:b w:val="false"/>
          <w:sz w:val="26"/>
        </w:rPr>
        <w:t>a) Nộp hồ sơ TTHC:
Chủ đầu tư dự án xây dựng nút giao đấu nối vào đường quốc lộ đang khai thác gửi hồ sơ đề nghị đến cơ quan có thẩm quyền:
- Đối với quốc lộ do Bộ Xây dựng quản lý:
+ Cục Đường bộ Việt Nam chấp thuận thiết kế nút giao đấu nối vào đường cao tốc, đường quốc lộ được quy hoạch thành cao tốc; 
+ Khu Quản lý đường bộ thực hiện đối với các đường quốc lộ còn lại thuộc phạm vi quản lý;
- Đối với quốc lộ do Uỷ ban nhân dân cấp tỉnh quản lý: Uỷ ban nhân dân cấp tỉnh tổ chức thực hiện chấp thuận thiết kế nút giao đấu nối vào đường quốc lộ đang khai thác.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05 ngày làm việc kể từ khi nhận đủ hồ sơ đúng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05 ngày làm việc kể từ khi nhận đủ hồ sơ đúng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05 ngày làm việc kể từ khi nhận đủ hồ sơ đúng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quy định</w:t>
            </w:r>
          </w:p>
        </w:tc>
        <w:tc>
          <w:p/>
          <w:p>
            <w:pPr>
              <w:spacing w:after="0" w:before="0" w:lineRule="auto" w:line="276"/>
              <w:jc w:val="left"/>
            </w:pPr>
            <w:r>
              <w:rPr>
                <w:rFonts w:ascii="Times New Roman" w:hAnsi="Times New Roman" w:cs="Times New Roman" w:eastAsia="Times New Roman"/>
                <w:b w:val="false"/>
                <w:sz w:val="26"/>
              </w:rPr>
              <w:t>Don_TT1.001061.docx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thiết kế nút giao đấu nối vào đường quốc lộ đang khai thác, bao gồm: thuyết minh thiết kế, bản vẽ thiết kế nút giao đấu nối và bản vẽ hoàn trả kết cấu hạ tầng đường quốc lộ; văn bản hoặc quyết định chấp thuận vị trí đấu nối vào quốc lộ đang khai thác, trừ vị trí đấu nối không phải chấp thuận theo quy định Nghị định của Chính phủ quy định chi tiết, hướng dẫn thi hành một số điều của Luật Đường bộ và Điều 77 Luật Trật tự, an toàn giao thông đường bộ (Bản chính, bản sao có chứng thực, bản sao điện tử được cấp từ sổ gốc, bản sao điện tử được chứng thực từ bản chính, bản sao kèm theo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văn bản sau để xác định chủ đầu tư đấu nối: văn bản giao làm chủ đầu tư nút giao đấu nối, hoặc quyết định chủ trương đầu tư hoặc quyết định duyệt dự án đầu tư đường nhánh đấu nối vào đường quốc lộ đang khai thác (Bản chính, bản sao có chứng thực, bản sao điện tử được cấp từ sổ gốc, bản sao điện tử được chứng thực từ bản chính, bản sao kèm theo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Xây dựng thành phố Đồng Nai, Ban Quản lý các Khu công nghiệp, Khu Kinh tế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 Sở Xây dựng thành phố Đồng Nai, Ban Quản lý các Khu công nghiệp, Khu Kinh tế thành phố Đồng Nai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trực tiếp hoặc qua dịch vụ bưu chính đến Trung tâm Phục vụ hành chính công tỉnh; Trung tâm Phục vụ hành chính công cấp xã. - Nộp trực tuyến qua Cổng DVC quốc gia tại địa chỉ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Các cơ quan, tổ chức liên quan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thiết kế nút giao đấu nối vào đường quốc lộ đang khai thác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22/2014/TT-BGTVT</w:t>
            </w:r>
          </w:p>
        </w:tc>
        <w:tc>
          <w:p/>
          <w:p>
            <w:pPr>
              <w:spacing w:after="0" w:before="0" w:lineRule="auto" w:line="276"/>
              <w:jc w:val="left"/>
            </w:pPr>
            <w:r>
              <w:rPr>
                <w:rFonts w:ascii="Times New Roman" w:hAnsi="Times New Roman" w:cs="Times New Roman" w:eastAsia="Times New Roman"/>
                <w:b w:val="false"/>
                <w:sz w:val="26"/>
              </w:rPr>
              <w:t>Hướng dẫn xây dựng quy trình vận hành, khai thác bến phà, bến khách ngang sông sử dụng phà một lưỡi chở hành khách và xe ô tô</w:t>
            </w:r>
          </w:p>
        </w:tc>
        <w:tc>
          <w:p/>
          <w:p>
            <w:pPr>
              <w:spacing w:after="0" w:before="0" w:lineRule="auto" w:line="276"/>
              <w:jc w:val="left"/>
            </w:pPr>
            <w:r>
              <w:rPr>
                <w:rFonts w:ascii="Times New Roman" w:hAnsi="Times New Roman" w:cs="Times New Roman" w:eastAsia="Times New Roman"/>
                <w:b w:val="false"/>
                <w:sz w:val="26"/>
              </w:rPr>
              <w:t>06-06-2014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41/2024/TT-BGTVT</w:t>
            </w:r>
          </w:p>
        </w:tc>
        <w:tc>
          <w:p/>
          <w:p>
            <w:pPr>
              <w:spacing w:after="0" w:before="0" w:lineRule="auto" w:line="276"/>
              <w:jc w:val="left"/>
            </w:pPr>
            <w:r>
              <w:rPr>
                <w:rFonts w:ascii="Times New Roman" w:hAnsi="Times New Roman" w:cs="Times New Roman" w:eastAsia="Times New Roman"/>
                <w:b w:val="false"/>
                <w:sz w:val="26"/>
              </w:rPr>
              <w:t>Quy định về quản lý, vận hành, khai thác và bảo trì kết cấu hạ tầng đường bộ</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36/2024/TT-BGTVT</w:t>
            </w:r>
          </w:p>
        </w:tc>
        <w:tc>
          <w:p/>
          <w:p>
            <w:pPr>
              <w:spacing w:after="0" w:before="0" w:lineRule="auto" w:line="276"/>
              <w:jc w:val="left"/>
            </w:pPr>
            <w:r>
              <w:rPr>
                <w:rFonts w:ascii="Times New Roman" w:hAnsi="Times New Roman" w:cs="Times New Roman" w:eastAsia="Times New Roman"/>
                <w:b w:val="false"/>
                <w:sz w:val="26"/>
              </w:rPr>
              <w:t>Quy định về tổ chức, quản lý hoạt động vận tải bằng xe ô tô và hoạt động của bến xe, bãi đỗ xe, trạm dừng nghỉ, điểm dừng xe trên đường bộ; quy định trình tự, thủ tục đưa bến xe, trạm dừng nghỉ vào khai thác</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40/2024/TT-BGTVT</w:t>
            </w:r>
          </w:p>
        </w:tc>
        <w:tc>
          <w:p/>
          <w:p>
            <w:pPr>
              <w:spacing w:after="0" w:before="0" w:lineRule="auto" w:line="276"/>
              <w:jc w:val="left"/>
            </w:pPr>
            <w:r>
              <w:rPr>
                <w:rFonts w:ascii="Times New Roman" w:hAnsi="Times New Roman" w:cs="Times New Roman" w:eastAsia="Times New Roman"/>
                <w:b w:val="false"/>
                <w:sz w:val="26"/>
              </w:rPr>
              <w:t>Quy định về phòng, chống, khắc phục hậu quả lụt thiên tai trong lĩnh vực đường bộ</w:t>
            </w:r>
          </w:p>
        </w:tc>
        <w:tc>
          <w:p/>
          <w:p>
            <w:pPr>
              <w:spacing w:after="0" w:before="0" w:lineRule="auto" w:line="276"/>
              <w:jc w:val="left"/>
            </w:pPr>
            <w:r>
              <w:rPr>
                <w:rFonts w:ascii="Times New Roman" w:hAnsi="Times New Roman" w:cs="Times New Roman" w:eastAsia="Times New Roman"/>
                <w:b w:val="false"/>
                <w:sz w:val="26"/>
              </w:rPr>
              <w:t>15-11-2024</w:t>
            </w:r>
          </w:p>
        </w:tc>
        <w:tc>
          <w:p/>
        </w:tc>
      </w:tr>
      <w:tr>
        <w:tc>
          <w:p/>
          <w:p>
            <w:pPr>
              <w:spacing w:after="0" w:before="0" w:lineRule="auto" w:line="276"/>
              <w:jc w:val="left"/>
            </w:pPr>
            <w:r>
              <w:rPr>
                <w:rFonts w:ascii="Times New Roman" w:hAnsi="Times New Roman" w:cs="Times New Roman" w:eastAsia="Times New Roman"/>
                <w:b w:val="false"/>
                <w:sz w:val="26"/>
              </w:rPr>
              <w:t>09/2025/TT-BXD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thuộc lĩnh vực quản lý nhà nước của Bộ Xây dựng liên quan đến sắp xếp tổ chức bộ máy, thực hiện chính quyền địa phương hai cấp và phân cấp cho chính quyền địa phương.</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72/2025/TT-BXD</w:t>
            </w:r>
          </w:p>
        </w:tc>
        <w:tc>
          <w:p/>
          <w:p>
            <w:pPr>
              <w:spacing w:after="0" w:before="0" w:lineRule="auto" w:line="276"/>
              <w:jc w:val="left"/>
            </w:pPr>
            <w:r>
              <w:rPr>
                <w:rFonts w:ascii="Times New Roman" w:hAnsi="Times New Roman" w:cs="Times New Roman" w:eastAsia="Times New Roman"/>
                <w:b w:val="false"/>
                <w:sz w:val="26"/>
              </w:rPr>
              <w:t>Thông tư 72/2025/TT-BXD</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2503/QĐ-BXD</w:t>
            </w:r>
          </w:p>
        </w:tc>
        <w:tc>
          <w:p/>
          <w:p>
            <w:pPr>
              <w:spacing w:after="0" w:before="0" w:lineRule="auto" w:line="276"/>
              <w:jc w:val="left"/>
            </w:pPr>
            <w:r>
              <w:rPr>
                <w:rFonts w:ascii="Times New Roman" w:hAnsi="Times New Roman" w:cs="Times New Roman" w:eastAsia="Times New Roman"/>
                <w:b w:val="false"/>
                <w:sz w:val="26"/>
              </w:rPr>
              <w:t>Quyết định 2503/QĐ-BXD năm 2026 công bố thủ tục hành chính được sửa đổi, bổ sung, bãi bỏ trong lĩnh vực đường bộ thuộc phạm vi chức năng quản lý nhà nước của Bộ Xây dựng</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Vị trí đấu nối được thiết kế, xây dựng tuân thủ quy chuẩn, tiêu chuẩn kỹ thuật; phù hợp với cấp đường và bảo đảm an toàn giao thông, năng lực thông hành của tuyến đường;
- Trường hợp đấu nối đường khác với đường cao tốc, ngoài các quy định trên, khoảng cách giữa các vị trí đấu nối phải tuân thủ quy chuẩn, tiêu chuẩn kỹ thuật về thiết kế đường cao tốc.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2026-04-30T13:47:02Z</dcterms:created>
  <dc:creator>Apache POI</dc:creator>
</cp:coreProperties>
</file>