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1.003970.000.00.00.H19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đồng thời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 Giấy chứng nhận)</w:t>
            </w:r>
          </w:p>
        </w:tc>
        <w:tc>
          <w:p/>
          <w:p>
            <w:pPr>
              <w:spacing w:after="0" w:before="0" w:lineRule="auto" w:line="276"/>
              <w:jc w:val="left"/>
            </w:pPr>
            <w:r>
              <w:rPr>
                <w:rFonts w:ascii="Times New Roman" w:hAnsi="Times New Roman" w:cs="Times New Roman" w:eastAsia="Times New Roman"/>
                <w:b w:val="false"/>
                <w:sz w:val="26"/>
              </w:rPr>
              <w:t>Trong 02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nộp trực tiếp tại Trung tâm hành chính công tỉnh. - Cấp xã: nộp trực tiếp tại Trung tâm hành chính công xã. - Qua dịch vụ Bưu chính công ích. - Trực tuyến Qua Cổng DVC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902/QĐ-BXD</w:t>
            </w:r>
          </w:p>
        </w:tc>
        <w:tc>
          <w:p/>
          <w:p>
            <w:pPr>
              <w:spacing w:after="0" w:before="0" w:lineRule="auto" w:line="276"/>
              <w:jc w:val="left"/>
            </w:pPr>
            <w:r>
              <w:rPr>
                <w:rFonts w:ascii="Times New Roman" w:hAnsi="Times New Roman" w:cs="Times New Roman" w:eastAsia="Times New Roman"/>
                <w:b w:val="false"/>
                <w:sz w:val="26"/>
              </w:rPr>
              <w:t>Quyết định số 902/QĐ-BXD ngày 24/6/2025 về việc công bố thủ tục hành chính được sửa đổi, bổ sung trong lĩnh vực hàng hải và đường thủy nội địa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2026-04-30T13:30:44Z</dcterms:created>
  <dc:creator>Apache POI</dc:creator>
</cp:coreProperties>
</file>