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2.001711.000.00.00.H19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2214/QĐ-UBND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lại phương tiện trong trường hợp phương tiện thay đổi tên, tính năng kỹ thuật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Nộp hồ sơ TTHC:</w:t>
      </w:r>
    </w:p>
    <w:p>
      <w:pPr>
        <w:spacing w:after="0" w:before="0" w:lineRule="auto" w:line="276"/>
        <w:jc w:val="both"/>
      </w:pPr>
      <w:r>
        <w:rPr>
          <w:rFonts w:ascii="Times New Roman" w:hAnsi="Times New Roman" w:cs="Times New Roman" w:eastAsia="Times New Roman"/>
          <w:b w:val="false"/>
          <w:sz w:val="26"/>
        </w:rPr>
        <w:t>Tổ chức, cá nhân nộp hồ sơ đề nghị đến cơ quan đăng ký phương tiện:
- Sở Xây dựng:
+ Thực hiện đăng ký phương tiện mang cấp VR-SB, phương tiện không có động cơ trọng tải toàn phần trên 15 tấn, phương tiện có động cơ tổng công suất máy chính trên 15 sức ngựa, phương tiện có sức chở trên 12 người của tổ chức, cá nhân có trụ sở hoặc nơi đăng ký hộ khẩu thường trú tại tỉnh, thành phố trực thuộc Trung ương đó.
+ Thực hiện đăng ký phương tiện không có động cơ trọng tải toàn phần từ 01 tấn đến 15 tấn hoặc có sức chở từ 05 người đến 12 người, phương tiện có động cơ tổng công suất máy chính đến 15 sức ngựa hoặc có sức chở đến 12 người của tổ chức, cá nhân có trụ sở hoặc nơi đăng ký hộ khẩu thường trú tại địa bàn quản lý;
- Ủy ban nhân dân cấp xã: Thực hiện đăng ký phương tiện không có động cơ trọng tải toàn phần từ 01 tấn đến 15 tấn hoặc có sức chở từ 05 người đến 12 người, phương tiện có động cơ tổng công suất máy chính đến 15 sức ngựa hoặc có sức chở đến 12 người của tổ chức, cá nhân có trụ sở hoặc nơi đăng ký hộ khẩu thường trú tại địa bàn quản lý;</w:t>
      </w:r>
    </w:p>
    <w:p>
      <w:pPr>
        <w:shd w:val="clear" w:color="auto" w:fill="F2F6F9"/>
        <w:spacing w:after="0" w:before="120" w:lineRule="auto" w:line="276"/>
        <w:jc w:val="both"/>
      </w:pPr>
      <w:r>
        <w:rPr>
          <w:rFonts w:ascii="Times New Roman" w:hAnsi="Times New Roman" w:cs="Times New Roman" w:eastAsia="Times New Roman"/>
          <w:b w:val="true"/>
          <w:sz w:val="26"/>
        </w:rPr>
        <w:t>b) Giải quyết TTHC:</w:t>
      </w:r>
    </w:p>
    <w:p>
      <w:pPr>
        <w:spacing w:after="0" w:before="0" w:lineRule="auto" w:line="276"/>
        <w:jc w:val="both"/>
      </w:pPr>
      <w:r>
        <w:rPr>
          <w:rFonts w:ascii="Times New Roman" w:hAnsi="Times New Roman" w:cs="Times New Roman" w:eastAsia="Times New Roman"/>
          <w:b w:val="false"/>
          <w:sz w:val="26"/>
        </w:rPr>
        <w:t>Cơ quan đăng ký phương tiện tiếp nhận, kiểm tra hồ sơ và xử lý như sau:
- Trường hợp hồ sơ nộp trực tiếp, nếu hồ sơ đầy đủ thì cấp giấy biên nhận hồ sơ và hẹn trả kết quả theo thời hạn quy định; nếu hồ sơ không đầy đủ theo quy định thì trả lại và hướng dẫn tổ chức, cá nhân hoàn thiện lại hồ sơ;
- Trường hợp hồ sơ nhận qua hệ thống bưu chính hoặc qua hệ thống dịch vụ công trực tuyến, trong thời hạn 02 (hai) ngày làm việc kể từ ngày nhận được hồ sơ, cơ quan đăng ký phương tiện thực hiện kiểm tra thành phần hồ sơ; nếu hồ sơ đầy đủ theo quy định thì tiếp nhận hồ sơ và thông báo thời hạn trả kết quả, nếu hồ sơ không đầy đủ theo quy định thì có văn bản gửi tổ chức, cá nhân hoàn thiện hồ sơ;
- Trong thời hạn 02 (hai) ngày làm việc, kể từ ngày nhận đủ hồ sơ theo quy định và tổ chức, cá nhân đã hoàn thành nghĩa vụ tài chính (nếu có), cơ quan đăng ký cấp giấy chứng nhận và gửi trực tiếp hoặc qua dịch vụ bưu chính hoặc qua hệ thống dịch vụ công trực tuyến cho chủ phương tiện. Trường hợp không cấp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t>Lệ phí : 70000 Đồng</w:t>
              <w:t xml:space="preserve"> (70.000 đồng/ Giấy chứng nhận)</w:t>
            </w:r>
          </w:p>
        </w:tc>
        <w:tc>
          <w:p/>
          <w:p>
            <w:pPr>
              <w:spacing w:after="0" w:before="0" w:lineRule="auto" w:line="276"/>
              <w:jc w:val="left"/>
            </w:pPr>
            <w:r>
              <w:rPr>
                <w:rFonts w:ascii="Times New Roman" w:hAnsi="Times New Roman" w:cs="Times New Roman" w:eastAsia="Times New Roman"/>
                <w:b w:val="false"/>
                <w:sz w:val="26"/>
              </w:rPr>
              <w:t>Trong 02 ngày làm việc kể từ ngày nhận đủ hồ sơ theo quy định và tổ chức, cá nhân đã hoàn thành nghĩa vụ tài chính (nếu có).</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t>Lệ phí : 70000 Đồng</w:t>
              <w:t xml:space="preserve"> (70.000 đồng/ giấy chứng nhận)</w:t>
            </w:r>
          </w:p>
        </w:tc>
        <w:tc>
          <w:p/>
          <w:p>
            <w:pPr>
              <w:spacing w:after="0" w:before="0" w:lineRule="auto" w:line="276"/>
              <w:jc w:val="left"/>
            </w:pPr>
            <w:r>
              <w:rPr>
                <w:rFonts w:ascii="Times New Roman" w:hAnsi="Times New Roman" w:cs="Times New Roman" w:eastAsia="Times New Roman"/>
                <w:b w:val="false"/>
                <w:sz w:val="26"/>
              </w:rPr>
              <w:t>Trong 02 ngày làm việc kể từ ngày nhận đủ hồ sơ theo quy định và tổ chức, cá nhân đã hoàn thành nghĩa vụ tài chính (nếu có).</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t>Lệ phí : 70000 Đồng</w:t>
              <w:t xml:space="preserve"> (70.000 đồng/ Giấy chứng nhận)</w:t>
            </w:r>
          </w:p>
        </w:tc>
        <w:tc>
          <w:p/>
          <w:p>
            <w:pPr>
              <w:spacing w:after="0" w:before="0" w:lineRule="auto" w:line="276"/>
              <w:jc w:val="left"/>
            </w:pPr>
            <w:r>
              <w:rPr>
                <w:rFonts w:ascii="Times New Roman" w:hAnsi="Times New Roman" w:cs="Times New Roman" w:eastAsia="Times New Roman"/>
                <w:b w:val="false"/>
                <w:sz w:val="26"/>
              </w:rPr>
              <w:t>Trong 02 ngày làm việc kể từ ngày nhận đủ hồ sơ theo quy định và tổ chức, cá nhân đã hoàn thành nghĩa vụ tài chính (nếu có).</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Đối với phương tiện đăng ký lại do thay đổi tính năng kỹ thuật:</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phải nộp để lưu giữ tại cơ quan đăng ký phương tiện: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Đơn đề nghị đăng ký lại phương tiện thủy nội địa theo quy định;</w:t>
            </w:r>
          </w:p>
        </w:tc>
        <w:tc>
          <w:p/>
          <w:p>
            <w:pPr>
              <w:spacing w:after="0" w:before="0" w:lineRule="auto" w:line="276"/>
              <w:jc w:val="left"/>
            </w:pPr>
            <w:r>
              <w:rPr>
                <w:rFonts w:ascii="Times New Roman" w:hAnsi="Times New Roman" w:cs="Times New Roman" w:eastAsia="Times New Roman"/>
                <w:b w:val="false"/>
                <w:sz w:val="26"/>
              </w:rPr>
              <w:t>Mauon.docx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lai nộp lệ phí trước bạ (bản chính hoặc bản sao có chứng thực hoặc bản sao điện tử được chứng thực từ bản chính hoặc bản sao điện tử được cấp từ sổ gốc) đối với phương tiện thuộc diện phải nộp lệ phí trước bạ;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kê khai điều kiện an toàn của phương tiện thủy nội địa theo quy định đối với phương tiện không thuộc diện đăng kiểm.</w:t>
            </w:r>
          </w:p>
        </w:tc>
        <w:tc>
          <w:p/>
          <w:p>
            <w:pPr>
              <w:spacing w:after="0" w:before="0" w:lineRule="auto" w:line="276"/>
              <w:jc w:val="left"/>
            </w:pPr>
            <w:r>
              <w:rPr>
                <w:rFonts w:ascii="Times New Roman" w:hAnsi="Times New Roman" w:cs="Times New Roman" w:eastAsia="Times New Roman"/>
                <w:b w:val="false"/>
                <w:sz w:val="26"/>
              </w:rPr>
              <w:t>MauBankekhai.docx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Xuất trình hoặc gửi bản chính hoặc bản sao có chứng thực hoặc bản sao điện tử được chứng thực từ bản chính hoặc bản sao điện tử được cấp từ sổ gốc: Giấy chứng nhận an toàn kỹ thuật và bảo vệ môi trường của phương tiện được cấp còn hiệu lực sau khi phương tiện đã thay đổi tính năng kỹ thuật đối với phương tiện thuộc diện đăng kiểm để cơ quan đăng ký phương tiện kiểm tra.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Xây dựng thành phố Đồng Nai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Cấp tỉnh: nộp trực tiếp tại Trung tâm hành chính công tỉnh. - Cấp xã: nộp trực tiếp tại Trung tâm hành chính công xã. - Qua dịch vụ Bưu chính công ích. - Trực tuyến Qua Cổng DVC quốc gia</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phương tiện thủy nội địa.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23/2004/QH11</w:t>
            </w:r>
          </w:p>
        </w:tc>
        <w:tc>
          <w:p/>
          <w:p>
            <w:pPr>
              <w:spacing w:after="0" w:before="0" w:lineRule="auto" w:line="276"/>
              <w:jc w:val="left"/>
            </w:pPr>
            <w:r>
              <w:rPr>
                <w:rFonts w:ascii="Times New Roman" w:hAnsi="Times New Roman" w:cs="Times New Roman" w:eastAsia="Times New Roman"/>
                <w:b w:val="false"/>
                <w:sz w:val="26"/>
              </w:rPr>
              <w:t>Giao thông đường thủy nội địa</w:t>
            </w:r>
          </w:p>
        </w:tc>
        <w:tc>
          <w:p/>
          <w:p>
            <w:pPr>
              <w:spacing w:after="0" w:before="0" w:lineRule="auto" w:line="276"/>
              <w:jc w:val="left"/>
            </w:pPr>
            <w:r>
              <w:rPr>
                <w:rFonts w:ascii="Times New Roman" w:hAnsi="Times New Roman" w:cs="Times New Roman" w:eastAsia="Times New Roman"/>
                <w:b w:val="false"/>
                <w:sz w:val="26"/>
              </w:rPr>
              <w:t>15-06-2004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47/2005/TT-BTC</w:t>
            </w:r>
          </w:p>
        </w:tc>
        <w:tc>
          <w:p/>
          <w:p>
            <w:pPr>
              <w:spacing w:after="0" w:before="0" w:lineRule="auto" w:line="276"/>
              <w:jc w:val="left"/>
            </w:pPr>
            <w:r>
              <w:rPr>
                <w:rFonts w:ascii="Times New Roman" w:hAnsi="Times New Roman" w:cs="Times New Roman" w:eastAsia="Times New Roman"/>
                <w:b w:val="false"/>
                <w:sz w:val="26"/>
              </w:rPr>
              <w:t>Hướng dẫn chế độ thu, nộp và quản lý sử dụng phí, lệ phí quản lý nhà nước về đảm bảo trật tự, an toàn giao thông đường thuỷ nội địa</w:t>
            </w:r>
          </w:p>
        </w:tc>
        <w:tc>
          <w:p/>
          <w:p>
            <w:pPr>
              <w:spacing w:after="0" w:before="0" w:lineRule="auto" w:line="276"/>
              <w:jc w:val="left"/>
            </w:pPr>
            <w:r>
              <w:rPr>
                <w:rFonts w:ascii="Times New Roman" w:hAnsi="Times New Roman" w:cs="Times New Roman" w:eastAsia="Times New Roman"/>
                <w:b w:val="false"/>
                <w:sz w:val="26"/>
              </w:rPr>
              <w:t>08-06-2005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48/2014/QH13</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Giao thông đường thủy nội địa</w:t>
            </w:r>
          </w:p>
        </w:tc>
        <w:tc>
          <w:p/>
          <w:p>
            <w:pPr>
              <w:spacing w:after="0" w:before="0" w:lineRule="auto" w:line="276"/>
              <w:jc w:val="left"/>
            </w:pPr>
            <w:r>
              <w:rPr>
                <w:rFonts w:ascii="Times New Roman" w:hAnsi="Times New Roman" w:cs="Times New Roman" w:eastAsia="Times New Roman"/>
                <w:b w:val="false"/>
                <w:sz w:val="26"/>
              </w:rPr>
              <w:t>17-06-2014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75/2014/TT-BGTVT</w:t>
            </w:r>
          </w:p>
        </w:tc>
        <w:tc>
          <w:p/>
          <w:p>
            <w:pPr>
              <w:spacing w:after="0" w:before="0" w:lineRule="auto" w:line="276"/>
              <w:jc w:val="left"/>
            </w:pPr>
            <w:r>
              <w:rPr>
                <w:rFonts w:ascii="Times New Roman" w:hAnsi="Times New Roman" w:cs="Times New Roman" w:eastAsia="Times New Roman"/>
                <w:b w:val="false"/>
                <w:sz w:val="26"/>
              </w:rPr>
              <w:t>Quy định về đăng ký phương tiện thủy nội địa</w:t>
            </w:r>
          </w:p>
        </w:tc>
        <w:tc>
          <w:p/>
          <w:p>
            <w:pPr>
              <w:spacing w:after="0" w:before="0" w:lineRule="auto" w:line="276"/>
              <w:jc w:val="left"/>
            </w:pPr>
            <w:r>
              <w:rPr>
                <w:rFonts w:ascii="Times New Roman" w:hAnsi="Times New Roman" w:cs="Times New Roman" w:eastAsia="Times New Roman"/>
                <w:b w:val="false"/>
                <w:sz w:val="26"/>
              </w:rPr>
              <w:t>19-12-2014</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 xml:space="preserve">198/2016/TT-BTC </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lệ phí trong lĩnh vực đường thuỷ nội địa và đường sắt</w:t>
            </w:r>
          </w:p>
        </w:tc>
        <w:tc>
          <w:p/>
          <w:p>
            <w:pPr>
              <w:spacing w:after="0" w:before="0" w:lineRule="auto" w:line="276"/>
              <w:jc w:val="left"/>
            </w:pPr>
            <w:r>
              <w:rPr>
                <w:rFonts w:ascii="Times New Roman" w:hAnsi="Times New Roman" w:cs="Times New Roman" w:eastAsia="Times New Roman"/>
                <w:b w:val="false"/>
                <w:sz w:val="26"/>
              </w:rPr>
              <w:t>08-11-2016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 xml:space="preserve">75/2014/TT-BGTVT </w:t>
            </w:r>
          </w:p>
        </w:tc>
        <w:tc>
          <w:p/>
          <w:p>
            <w:pPr>
              <w:spacing w:after="0" w:before="0" w:lineRule="auto" w:line="276"/>
              <w:jc w:val="left"/>
            </w:pPr>
            <w:r>
              <w:rPr>
                <w:rFonts w:ascii="Times New Roman" w:hAnsi="Times New Roman" w:cs="Times New Roman" w:eastAsia="Times New Roman"/>
                <w:b w:val="false"/>
                <w:sz w:val="26"/>
              </w:rPr>
              <w:t>Bộ giao thông vận tải quy định về đăng ký phương tiện thủy nội địa</w:t>
            </w:r>
          </w:p>
        </w:tc>
        <w:tc>
          <w:p/>
          <w:p>
            <w:pPr>
              <w:spacing w:after="0" w:before="0" w:lineRule="auto" w:line="276"/>
              <w:jc w:val="left"/>
            </w:pPr>
            <w:r>
              <w:rPr>
                <w:rFonts w:ascii="Times New Roman" w:hAnsi="Times New Roman" w:cs="Times New Roman" w:eastAsia="Times New Roman"/>
                <w:b w:val="false"/>
                <w:sz w:val="26"/>
              </w:rPr>
              <w:t>19-12-2014</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60/2024/TT-BGTVT</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Thông tư quy định về đăng ký phương tiện thủy nội địa và quy định thi, kiểm tra, cấp, cấp lại, chuyển đổi giấy chứng nhận khả năng chuyên môn, chứng chỉ chuyên môn thuyền viên, người lái phương tiện thủy nội địa</w:t>
            </w:r>
          </w:p>
        </w:tc>
        <w:tc>
          <w:p/>
          <w:p>
            <w:pPr>
              <w:spacing w:after="0" w:before="0" w:lineRule="auto" w:line="276"/>
              <w:jc w:val="left"/>
            </w:pPr>
            <w:r>
              <w:rPr>
                <w:rFonts w:ascii="Times New Roman" w:hAnsi="Times New Roman" w:cs="Times New Roman" w:eastAsia="Times New Roman"/>
                <w:b w:val="false"/>
                <w:sz w:val="26"/>
              </w:rPr>
              <w:t>17-12-2024</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09/2025/TT-BXD</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các Thông tư thuộc lĩnh vực quản lý nhà nước của Bộ Xây dựng liên quan đến sắp xếp tổ chức bộ máy, thực hiện chính quyền địa phương hai cấp và phân cấp cho chính quyền địa phương.</w:t>
            </w:r>
          </w:p>
        </w:tc>
        <w:tc>
          <w:p/>
          <w:p>
            <w:pPr>
              <w:spacing w:after="0" w:before="0" w:lineRule="auto" w:line="276"/>
              <w:jc w:val="left"/>
            </w:pPr>
            <w:r>
              <w:rPr>
                <w:rFonts w:ascii="Times New Roman" w:hAnsi="Times New Roman" w:cs="Times New Roman" w:eastAsia="Times New Roman"/>
                <w:b w:val="false"/>
                <w:sz w:val="26"/>
              </w:rPr>
              <w:t>13-06-2025</w:t>
            </w:r>
          </w:p>
        </w:tc>
        <w:tc>
          <w:p/>
          <w:p>
            <w:pPr>
              <w:spacing w:after="0" w:before="0" w:lineRule="auto" w:line="276"/>
              <w:jc w:val="left"/>
            </w:pPr>
            <w:r>
              <w:rPr>
                <w:rFonts w:ascii="Times New Roman" w:hAnsi="Times New Roman" w:cs="Times New Roman" w:eastAsia="Times New Roman"/>
                <w:b w:val="false"/>
                <w:sz w:val="26"/>
              </w:rPr>
              <w:t>Bộ Xây dựng</w:t>
            </w:r>
          </w:p>
        </w:tc>
      </w:tr>
      <w:tr>
        <w:tc>
          <w:p/>
          <w:p>
            <w:pPr>
              <w:spacing w:after="0" w:before="0" w:lineRule="auto" w:line="276"/>
              <w:jc w:val="left"/>
            </w:pPr>
            <w:r>
              <w:rPr>
                <w:rFonts w:ascii="Times New Roman" w:hAnsi="Times New Roman" w:cs="Times New Roman" w:eastAsia="Times New Roman"/>
                <w:b w:val="false"/>
                <w:sz w:val="26"/>
              </w:rPr>
              <w:t>902/QĐ-BXD</w:t>
            </w:r>
          </w:p>
        </w:tc>
        <w:tc>
          <w:p/>
          <w:p>
            <w:pPr>
              <w:spacing w:after="0" w:before="0" w:lineRule="auto" w:line="276"/>
              <w:jc w:val="left"/>
            </w:pPr>
            <w:r>
              <w:rPr>
                <w:rFonts w:ascii="Times New Roman" w:hAnsi="Times New Roman" w:cs="Times New Roman" w:eastAsia="Times New Roman"/>
                <w:b w:val="false"/>
                <w:sz w:val="26"/>
              </w:rPr>
              <w:t>Quyết định số 902/QĐ-BXD ngày 24/6/2025 về việc công bố thủ tục hành chính được sửa đổi, bổ sung trong lĩnh vực hàng hải và đường thủy nội địa thuộc phạm vi quản lý của Bộ Xây dựng</w:t>
            </w:r>
          </w:p>
        </w:tc>
        <w:tc>
          <w:p/>
          <w:p>
            <w:pPr>
              <w:spacing w:after="0" w:before="0" w:lineRule="auto" w:line="276"/>
              <w:jc w:val="left"/>
            </w:pPr>
            <w:r>
              <w:rPr>
                <w:rFonts w:ascii="Times New Roman" w:hAnsi="Times New Roman" w:cs="Times New Roman" w:eastAsia="Times New Roman"/>
                <w:b w:val="false"/>
                <w:sz w:val="26"/>
              </w:rPr>
              <w:t>24-06-2025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Phương tiện phải được đăng ký lại trong các trường hợp sau:
- Chuyển quyền sở hữu;
- Thay đổi tên, tính năng kỹ thuật;
- Trụ sở hoặc nơi đăng ký thường trú của chủ phương tiện chuyển sang đơn vị hành chính cấp tỉnh khác;
- Chuyển từ cơ quan đăng ký khác sang cơ quan đăng ký phương tiện thủy nội địa.</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2026-04-30T13:28:43Z</dcterms:created>
  <dc:creator>Apache POI</dc:creator>
</cp:coreProperties>
</file>