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1.004036.000.00.00.H19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2214/QĐ-UBND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lại phương tiện trong trường hợp chuyển từ cơ quan đăng ký khác sang cơ quan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Tổ chức, cá nhân nộp hồ sơ đề nghị đến cơ quan đăng ký phương tiện:
- Sở Xây dựng:
+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
+ Thực hiện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
- Ủy ban nhân dân cấp xã: Thực hiện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Cơ quan đăng ký phương tiện tiếp nhận, kiểm tra hồ sơ và xử lý như sau:
- 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
- Trường hợp hồ sơ nhận qua hệ thống bưu chính hoặc qua hệ thống dịch vụ công trực tuyến, trong thời hạn 02 (hai) ngày làm việc kể từ ngày nhận được hồ sơ, cơ quan đăng ký phương tiện thực hiện kiểm tra thành phần hồ sơ; nếu hồ sơ đầy đủ theo quy định thì tiếp nhận hồ sơ và thông báo thời hạn trả kết quả, nếu hồ sơ không đầy đủ theo quy định thì có văn bản gửi tổ chức, cá nhân hoàn thiện hồ sơ;
- Trong thời hạn 02 (hai) ngày làm việc, kể từ ngày nhận đủ hồ sơ theo quy định và tổ chức, cá nhân đã hoàn thành nghĩa vụ tài chính (nếu có), cơ quan đăng ký cấp giấy chứng nhận và gửi trực tiếp hoặc qua dịch vụ bưu chính hoặc qua hệ thống dịch vụ công trực tuyến cho chủ phương tiện. Trường hợp không cấp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Trong 02 ngày làm việc kể từ ngày nhận đủ hồ sơ theo quy định và tổ chức, cá nhân đã hoàn thành nghĩa vụ tài chính (nếu có).</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 giấy chứng nhận)</w:t>
            </w:r>
          </w:p>
        </w:tc>
        <w:tc>
          <w:p/>
          <w:p>
            <w:pPr>
              <w:spacing w:after="0" w:before="0" w:lineRule="auto" w:line="276"/>
              <w:jc w:val="left"/>
            </w:pPr>
            <w:r>
              <w:rPr>
                <w:rFonts w:ascii="Times New Roman" w:hAnsi="Times New Roman" w:cs="Times New Roman" w:eastAsia="Times New Roman"/>
                <w:b w:val="false"/>
                <w:sz w:val="26"/>
              </w:rPr>
              <w:t>Trong 02 ngày làm việc kể từ ngày nhận đủ hồ sơ theo quy định và tổ chức, cá nhân đã hoàn thành nghĩa vụ tài chính (nếu có).</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Trong 02 ngày làm việc kể từ ngày nhận đủ hồ sơ theo quy định và tổ chức, cá nhân đã hoàn thành nghĩa vụ tài chính (nếu có).</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 để lưu giữ tại cơ quan đăng ký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đăng ký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lai nộp lệ phí trước bạ (bản chính hoặc bản sao có chứng thực hoặc bản sao điện tử được chứng thực từ bản chính hoặc bản sao điện tử được cấp từ sổ gốc) đối với phương tiện thuộc diện phải nộp lệ phí trước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kê khai điều kiện an toàn của phương tiện thủy nội địa theo quy định đối với phương tiện không thuộc diện đăng kiểm</w:t>
            </w:r>
          </w:p>
        </w:tc>
        <w:tc>
          <w:p/>
          <w:p>
            <w:pPr>
              <w:spacing w:after="0" w:before="0" w:lineRule="auto" w:line="276"/>
              <w:jc w:val="left"/>
            </w:pPr>
            <w:r>
              <w:rPr>
                <w:rFonts w:ascii="Times New Roman" w:hAnsi="Times New Roman" w:cs="Times New Roman" w:eastAsia="Times New Roman"/>
                <w:b w:val="false"/>
                <w:sz w:val="26"/>
              </w:rPr>
              <w:t>MauBankekhai.docx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Xuất trình hoặc gửi bản chính hoặc bản sao có chứng thực hoặc bản sao điện tử được chứng thực từ bản chính hoặc bản sao điện tử được cấp từ sổ gốc các loại giấy tờ sau đây để cơ quan đăng ký phương tiện kiểm tra: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an toàn kỹ thuật và bảo vệ môi trường của phương tiện còn hiệu lực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mua bán phương tiện hoặc giấy tờ khác chứng minh phương tiện được cho, tặng, thừa kế theo quy định của pháp luật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chứng minh được phép hoạt động và có trụ sở tại Việt Nam đối với tổ chức nước ngoài hoặc giấy tờ chứng minh được phép cư trú tại Việt Nam đối với cá nhân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cho thuê tài chính đối với trường hợp tổ chức cho thuê tài chính đề nghị được đăng ký phương tiện tại nơi đăng ký hộ khẩu thường trú hoặc tạm trú của bên thuê.</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Xây dựng tỉnh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Cấp tỉnh: nộp trực tiếp tại Trung tâm hành chính công tỉnh. - Cấp xã: nộp trực tiếp tại Trung tâm hành chính công xã. - Qua dịch vụ Bưu chính công ích. - Trực tuyến Qua Cổng DVC quốc gia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75/2014/TT-BGTVT</w:t>
            </w:r>
          </w:p>
        </w:tc>
        <w:tc>
          <w:p/>
          <w:p>
            <w:pPr>
              <w:spacing w:after="0" w:before="0" w:lineRule="auto" w:line="276"/>
              <w:jc w:val="left"/>
            </w:pPr>
            <w:r>
              <w:rPr>
                <w:rFonts w:ascii="Times New Roman" w:hAnsi="Times New Roman" w:cs="Times New Roman" w:eastAsia="Times New Roman"/>
                <w:b w:val="false"/>
                <w:sz w:val="26"/>
              </w:rPr>
              <w:t>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 xml:space="preserve">198/2016/TT-BTC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đường thuỷ nội địa và đường sắt</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60/2024/TT-BGTVT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Thông tư quy định về đăng ký phương tiện thủy nội địa và quy định thi, kiểm tra, cấp, cấp lại, chuyển đổi giấy chứng nhận khả năng chuyên môn, chứng chỉ chuyên môn thuyền viên, người lái phương tiện thủy nội địa</w:t>
            </w:r>
          </w:p>
        </w:tc>
        <w:tc>
          <w:p/>
          <w:p>
            <w:pPr>
              <w:spacing w:after="0" w:before="0" w:lineRule="auto" w:line="276"/>
              <w:jc w:val="left"/>
            </w:pPr>
            <w:r>
              <w:rPr>
                <w:rFonts w:ascii="Times New Roman" w:hAnsi="Times New Roman" w:cs="Times New Roman" w:eastAsia="Times New Roman"/>
                <w:b w:val="false"/>
                <w:sz w:val="26"/>
              </w:rPr>
              <w:t>17-12-2024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09/2025/TT-BXD</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thuộc lĩnh vực quản lý nhà nước của Bộ Xây dựng liên quan đến sắp xếp tổ chức bộ máy, thực hiện chính quyền địa phương hai cấp và phân cấp cho chính quyền địa phương.</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Xây dựng</w:t>
            </w:r>
          </w:p>
        </w:tc>
      </w:tr>
      <w:tr>
        <w:tc>
          <w:p/>
          <w:p>
            <w:pPr>
              <w:spacing w:after="0" w:before="0" w:lineRule="auto" w:line="276"/>
              <w:jc w:val="left"/>
            </w:pPr>
            <w:r>
              <w:rPr>
                <w:rFonts w:ascii="Times New Roman" w:hAnsi="Times New Roman" w:cs="Times New Roman" w:eastAsia="Times New Roman"/>
                <w:b w:val="false"/>
                <w:sz w:val="26"/>
              </w:rPr>
              <w:t>902/QĐ-BXD</w:t>
            </w:r>
          </w:p>
        </w:tc>
        <w:tc>
          <w:p/>
          <w:p>
            <w:pPr>
              <w:spacing w:after="0" w:before="0" w:lineRule="auto" w:line="276"/>
              <w:jc w:val="left"/>
            </w:pPr>
            <w:r>
              <w:rPr>
                <w:rFonts w:ascii="Times New Roman" w:hAnsi="Times New Roman" w:cs="Times New Roman" w:eastAsia="Times New Roman"/>
                <w:b w:val="false"/>
                <w:sz w:val="26"/>
              </w:rPr>
              <w:t>Quyết định số 902/QĐ-BXD ngày 24/6/2025 về việc công bố thủ tục hành chính được sửa đổi, bổ sung trong lĩnh vực hàng hải và đường thủy nội địa thuộc phạm vi quản lý của Bộ Xây dựng</w:t>
            </w:r>
          </w:p>
        </w:tc>
        <w:tc>
          <w:p/>
          <w:p>
            <w:pPr>
              <w:spacing w:after="0" w:before="0" w:lineRule="auto" w:line="276"/>
              <w:jc w:val="left"/>
            </w:pPr>
            <w:r>
              <w:rPr>
                <w:rFonts w:ascii="Times New Roman" w:hAnsi="Times New Roman" w:cs="Times New Roman" w:eastAsia="Times New Roman"/>
                <w:b w:val="false"/>
                <w:sz w:val="26"/>
              </w:rPr>
              <w:t>24-06-2025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Phương tiện phải được đăng ký lại trong các trường hợp sau:
- Chuyển quyền sở hữu;
- Thay đổi tên, tính năng kỹ thuật;
- Trụ sở hoặc nơi đăng ký thường trú của chủ phương tiện chuyển sang đơn vị hành chính cấp tỉnh khác;
- Chuyển từ cơ quan đăng ký khác sang cơ quan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2026-04-29T10:52:32Z</dcterms:created>
  <dc:creator>Apache POI</dc:creator>
</cp:coreProperties>
</file>