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1.001193.000.00.00.H32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khai sinh nộp hồ sơ tại Ủy ban nhân dân cấp xã có thẩm quyền</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Nếu hồ sơ sau khi đã được hướng dẫn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Ngay sau khi nhận đủ giấy tờ theo quy định, nếu thấy thông tin khai sinh đầy đủ và phù hợp, công chức tư pháp - hộ tịch báo cáo Chủ tịch Ủy ban nhân dân cấp xã. Trường hợp Chủ tịch Ủy ban nhân dân cấp xã đồng ý giải quyết thì công chức tư pháp - hộ tịch cập nhật thông tin khai sinh theo hướng dẫn để lấy Số định danh cá nhân (đối với các địa phương đã triển khai cấp Số định danh cá nhân khi đăng ký khai sinh), ghi nội dung khai sinh vào Sổ đăng ký khai sinh, cùng người đi đăng ký khai sinh ký tên vào Sổ. Chủ tịch Ủy ban nhân dân cấp xã ký Giấy khai sinh cấp cho người được đăng ký khai sinh</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+7.000 đồng/trường hợp (nếu thực hiện giao dịch trực tiếp); +3.500 đồng/trường hợp (nếu thực hiện giao dịch trực tuyến); +Miễn lệ phí đối với các trường hợp: đăng ký cho người thuộc gia đình có công với cách mạng; người thuộc hộ nghèo; người khuyết tật; đăng ký khai sinh đúng hạn. - Phí cấp bản sao Giấy khai sinh (nếu có yêu cầu):8.000đồng/bản sao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+7.000 đồng/trường hợp (nếu thực hiện giao dịch trực tiếp); +3.500 đồng/trường hợp (nếu thực hiện giao dịch trực tuyến); +Miễn lệ phí đối với các trường hợp: đăng ký cho người thuộc gia đình có công với cách mạng; người thuộc hộ nghèo; người khuyết tật; đăng ký khai sinh đúng hạn. - Phí cấp bản sao Giấy khai sinh (nếu có yêu cầu):8.000đồng/bản sao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+7.000 đồng/trường hợp (nếu thực hiện giao dịch trực tiếp); +3.500 đồng/trường hợp (nếu thực hiện giao dịch trực tuyến); +Miễn lệ phí đối với các trường hợp: đăng ký cho người thuộc gia đình có công với cách mạng; người thuộc hộ nghèo; người khuyết tật; đăng ký khai sinh đúng hạn. - Phí cấp bản sao Giấy khai sinh (nếu có yêu cầu):8.000đồng/bản sao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bị bỏ rơi thì phải có biên bản về việc trẻ bị bỏ rơi do cơ quan có thẩm quyền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đi đăng ký khai sinh cho trẻ em là ông, bà, người thân thích khác thì không phải có văn bản ủy quyền của cha, mẹ trẻ em, nhưng phải thống nhất với cha, mẹ trẻ em về các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xã-tỉnh Khánh Hòa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12/2021/NQ-HĐND</w:t>
            </w:r>
          </w:p>
        </w:tc>
        <w:tc>
          <w:p/>
          <w:p>
            <w:pPr>
              <w:spacing w:after="0" w:before="0" w:lineRule="auto" w:line="276"/>
              <w:jc w:val="left"/>
            </w:pPr>
            <w:r>
              <w:rPr>
                <w:rFonts w:ascii="Times New Roman" w:hAnsi="Times New Roman" w:cs="Times New Roman" w:eastAsia="Times New Roman"/>
                <w:b w:val="false"/>
                <w:sz w:val="26"/>
              </w:rPr>
              <w:t>Nghị quyết số 12/2021/NQ-HĐND ngày 19/10/2021 của Hội đồng nhân dân tỉnh Khánh Hòa về việc quy định mức thu, nộp, quản lý và sử dụng lệ phí hộ tịch, lệ phí đăng ký cư trú trên địa bàn tỉnh Khánh Hòa.</w:t>
            </w:r>
          </w:p>
        </w:tc>
        <w:tc>
          <w:p/>
          <w:p>
            <w:pPr>
              <w:spacing w:after="0" w:before="0" w:lineRule="auto" w:line="276"/>
              <w:jc w:val="left"/>
            </w:pPr>
            <w:r>
              <w:rPr>
                <w:rFonts w:ascii="Times New Roman" w:hAnsi="Times New Roman" w:cs="Times New Roman" w:eastAsia="Times New Roman"/>
                <w:b w:val="false"/>
                <w:sz w:val="26"/>
              </w:rPr>
              <w:t>19-10-2021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2026-05-16T23:28:18Z</dcterms:created>
  <dc:creator>Apache POI</dc:creator>
</cp:coreProperties>
</file>