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1.005024.000.00.00.H19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điều chỉnh quy trình vận hành, khai thác bến phà, bến khách ngang sông sử dụng phà một lưỡi chở hành khách và xe ô tô</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giải quyết thủ tục chuẩn bị đầy đủ các giấy tờ theo thành phần và số lượng hồ sơ đã được quy định tại thủ tục này.
Bước 2: Nộp hồ sơ tại Trung tâm hành chính công tỉnh (gọi là Trung tâm); Công chức tiếp nhận hồ sơ có trách nhiệm hướng dẫn, kiểm tra tính pháp lý, tính đầy đủ nội dung hồ sơ; chuyển giao hồ sơ về Sở GTVT.
Bước 3: Sở GTVT tiếp nhận, giải quyết, nhập tình trạng giải quyết hồ sơ lên phần mềm quản lý, giao kết quả hồ sơ về Trung tâm (việc nhận và giao kết quả hồ sơ thông qua nhân viên bưu điện).
Bước 4: Trung tâm có trách nhiệm giao trả kết quả trực tiếp (hoặc qua hệ thống bưu điện) cho đương sự.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được nhận hồ sơ, nếu kiểm tra hồ sơ không đủ, Sở Giao thông vận tải trả lời bằng văn bản và yêu cầu bổ sung hồ sơ theo quy định. - Sở Giao thông vận tải thẩm định và ra quyết định phê duyệt sau 20 (hai mươi)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được nhận hồ sơ, nếu kiểm tra hồ sơ không đủ, Sở Giao thông vận tải trả lời bằng văn bản và yêu cầu bổ sung hồ sơ theo quy định. - Sở Giao thông vận tải thẩm định và ra quyết định phê duyệt sau 20 (hai mươi)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duyệt quy trình vận hành, khai thác bến theo mẫu (bản chính);</w:t>
            </w:r>
          </w:p>
        </w:tc>
        <w:tc>
          <w:p/>
          <w:p>
            <w:pPr>
              <w:spacing w:after="0" w:before="0" w:lineRule="auto" w:line="276"/>
              <w:jc w:val="left"/>
            </w:pPr>
            <w:r>
              <w:rPr>
                <w:rFonts w:ascii="Times New Roman" w:hAnsi="Times New Roman" w:cs="Times New Roman" w:eastAsia="Times New Roman"/>
                <w:b w:val="false"/>
                <w:sz w:val="26"/>
              </w:rPr>
              <w:t>pha mot luoi.docx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cấp phép hoạt động của bến còn hiệu lực do cơ quan nhà nước có thẩm quyền cấp (bản sao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đăng ký phương tiện thủy nội địa (bản sao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thủy nội địa còn hiệu lực (bản sao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trình vận hành, khai thác bến;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 tỉnh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 - tỉnh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Số 236,Đường Phan Trung-Phường Tân Tiến- Thành phố Biên Hòa-Tỉnh Đồng Nai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điều chỉnh quy trình vận hành, khai thác bến phà, bến khách ngang sông sử dụng phà một lưỡi chở hành khách và xe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22/2014/TT-BGTVT</w:t>
            </w:r>
          </w:p>
        </w:tc>
        <w:tc>
          <w:p/>
          <w:p>
            <w:pPr>
              <w:spacing w:after="0" w:before="0" w:lineRule="auto" w:line="276"/>
              <w:jc w:val="left"/>
            </w:pPr>
            <w:r>
              <w:rPr>
                <w:rFonts w:ascii="Times New Roman" w:hAnsi="Times New Roman" w:cs="Times New Roman" w:eastAsia="Times New Roman"/>
                <w:b w:val="false"/>
                <w:sz w:val="26"/>
              </w:rPr>
              <w:t>Hướng dẫn xây dựng quy trình vận hành, khai thác bến phà, bến khách ngang sông sử dụng phà một lưỡi chở hành khách và xe ô tô</w:t>
            </w:r>
          </w:p>
        </w:tc>
        <w:tc>
          <w:p/>
          <w:p>
            <w:pPr>
              <w:spacing w:after="0" w:before="0" w:lineRule="auto" w:line="276"/>
              <w:jc w:val="left"/>
            </w:pPr>
            <w:r>
              <w:rPr>
                <w:rFonts w:ascii="Times New Roman" w:hAnsi="Times New Roman" w:cs="Times New Roman" w:eastAsia="Times New Roman"/>
                <w:b w:val="false"/>
                <w:sz w:val="26"/>
              </w:rPr>
              <w:t>06-06-2014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2026-04-30T13:32:10Z</dcterms:created>
  <dc:creator>Apache POI</dc:creator>
</cp:coreProperties>
</file>