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Yêu cầu áp dụng biện pháp bảo đảm, biện pháp cưỡng chế thi hành án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áp dụng biện pháp bảo đảm, biện pháp cưỡng chế có văn bản đề nghị Chấp hành viên</w:t>
      </w:r>
    </w:p>
    <w:p>
      <w:pPr>
        <w:spacing w:after="0" w:before="0" w:lineRule="auto" w:line="276"/>
        <w:jc w:val="both"/>
      </w:pPr>
      <w:r>
        <w:rPr>
          <w:rFonts w:ascii="Times New Roman" w:hAnsi="Times New Roman" w:cs="Times New Roman" w:eastAsia="Times New Roman"/>
          <w:b w:val="false"/>
          <w:sz w:val="26"/>
        </w:rPr>
        <w:t>Chấp hành viên lựa chọn việc áp dụng biện pháp bảo đảm, biện pháp cưỡng chế thi hành án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yêu cầu áp dụng biện pháp bảo đảm: áp dụng ngay.  - Đối với yêu cầu áp dụng biện pháp cưỡng chế:Trong thời hạn 10 ngày, kể từ ngày nhận được yêu cầu, Chấp hành viên phải tiến hành xác minh.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(1. Người phải thi hành án chịu chi phí cưỡng chế thi hành án sau đây: a) Chi phí thông báo về cưỡng chế thi hành án; b) Chi phí mua nguyên liệu, nhiên liệu, thuê phương tiện, thiết bị bảo vệ, y tế, phòng, chống cháy, nổ, các thiết bị, phương tiện cần thiết khác cho việc cưỡng chế thi hành án; c) Chi phí cho việc định giá, giám định tài sản, bán đấu giá tài sản; chi phí định giá lại tài sản, trừ trường hợp quy định tại điểm a khoản 2 và điểm a khoản 3 Điều 73 Luật THADS; d) Chi phí cho việc thuê, trông coi, bảo quản tài sản; chi phí bốc dỡ, vận chuyển tài sản; chi phí thuê nhân công và khoản chi phục vụ cho việc xây ngăn, phá dỡ; chi thuê đo đạc, xác định mốc giới để thực hiện việc cưỡng chế thi hành án; đ) Chi phí cho việc tạm giữ, thu giữ tài sản, giấy tờ; e) Tiền bồi dưỡng cho những người trực tiếp tham gia cưỡng chế và bảo vệ cưỡng chế thi hành án. 2. Người được thi hành án phải chịu chi phí cưỡng chế thi hành án sau đây: a) Chi phí xác minh theo quy định tại khoản 1 Điều 44 của Luật THADS; chi phí định giá lại tài sản nếu người được thi hành án yêu cầu định giá lại, trừ trường hợp định giá lại do có vi phạm quy định về định giá; b) Một phần hoặc toàn bộ chi phí xây ngăn, phá dỡ trong trường hợp bản án, quyết định xác định người được thi hành án phải chịu chi phí xây ngăn, phá dỡ.)</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yêu cầu áp dụng biện pháp bảo đảm: áp dụng ngay.  - Đối với yêu cầu áp dụng biện pháp cưỡng chế:Trong thời hạn 10 ngày, kể từ ngày nhận được yêu cầu, Chấp hành viên phải tiến hành xác minh.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(1. Người phải thi hành án chịu chi phí cưỡng chế thi hành án sau đây: a) Chi phí thông báo về cưỡng chế thi hành án; b) Chi phí mua nguyên liệu, nhiên liệu, thuê phương tiện, thiết bị bảo vệ, y tế, phòng, chống cháy, nổ, các thiết bị, phương tiện cần thiết khác cho việc cưỡng chế thi hành án; c) Chi phí cho việc định giá, giám định tài sản, bán đấu giá tài sản; chi phí định giá lại tài sản, trừ trường hợp quy định tại điểm a khoản 2 và điểm a khoản 3 Điều 73 Luật THADS; d) Chi phí cho việc thuê, trông coi, bảo quản tài sản; chi phí bốc dỡ, vận chuyển tài sản; chi phí thuê nhân công và khoản chi phục vụ cho việc xây ngăn, phá dỡ; chi thuê đo đạc, xác định mốc giới để thực hiện việc cưỡng chế thi hành án; đ) Chi phí cho việc tạm giữ, thu giữ tài sản, giấy tờ; e) Tiền bồi dưỡng cho những người trực tiếp tham gia cưỡng chế và bảo vệ cưỡng chế thi hành án. 2. Người được thi hành án phải chịu chi phí cưỡng chế thi hành án sau đây: a) Chi phí xác minh theo quy định tại khoản 1 Điều 44 của Luật THADS; chi phí định giá lại tài sản nếu người được thi hành án yêu cầu định giá lại, trừ trường hợp định giá lại do có vi phạm quy định về định giá; b) Một phần hoặc toàn bộ chi phí xây ngăn, phá dỡ trong trường hợp bản án, quyết định xác định người được thi hành án phải chịu chi phí xây ngăn, phá dỡ.)</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áp dụng biện pháp bảo đảm, biện pháp cưỡng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Thi hành án dân sự, Phòng thi hành án cấp quân khu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áp dụng biện pháp bảo đảm, quyết định cưỡng chế thi hành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12/VBHN-VPQH</w:t>
            </w:r>
          </w:p>
        </w:tc>
        <w:tc>
          <w:p/>
          <w:p>
            <w:pPr>
              <w:spacing w:after="0" w:before="0" w:lineRule="auto" w:line="276"/>
              <w:jc w:val="left"/>
            </w:pPr>
            <w:r>
              <w:rPr>
                <w:rFonts w:ascii="Times New Roman" w:hAnsi="Times New Roman" w:cs="Times New Roman" w:eastAsia="Times New Roman"/>
                <w:b w:val="false"/>
                <w:sz w:val="26"/>
              </w:rPr>
              <w:t>Luật 12/VBHN-VPQH</w:t>
            </w:r>
          </w:p>
        </w:tc>
        <w:tc>
          <w:p/>
          <w:p>
            <w:pPr>
              <w:spacing w:after="0" w:before="0" w:lineRule="auto" w:line="276"/>
              <w:jc w:val="left"/>
            </w:pPr>
            <w:r>
              <w:rPr>
                <w:rFonts w:ascii="Times New Roman" w:hAnsi="Times New Roman" w:cs="Times New Roman" w:eastAsia="Times New Roman"/>
                <w:b w:val="false"/>
                <w:sz w:val="26"/>
              </w:rPr>
              <w:t>11-12-2014</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11/2016/TTLT-BTP-TANDTC-VKSNDTC</w:t>
            </w:r>
          </w:p>
        </w:tc>
        <w:tc>
          <w:p/>
          <w:p>
            <w:pPr>
              <w:spacing w:after="0" w:before="0" w:lineRule="auto" w:line="276"/>
              <w:jc w:val="left"/>
            </w:pPr>
            <w:r>
              <w:rPr>
                <w:rFonts w:ascii="Times New Roman" w:hAnsi="Times New Roman" w:cs="Times New Roman" w:eastAsia="Times New Roman"/>
                <w:b w:val="false"/>
                <w:sz w:val="26"/>
              </w:rPr>
              <w:t>Thông tư liên tịch 11/2016/TTLT-BTP-TANDTC-VKSNDTC</w:t>
            </w:r>
          </w:p>
        </w:tc>
        <w:tc>
          <w:p/>
          <w:p>
            <w:pPr>
              <w:spacing w:after="0" w:before="0" w:lineRule="auto" w:line="276"/>
              <w:jc w:val="left"/>
            </w:pPr>
            <w:r>
              <w:rPr>
                <w:rFonts w:ascii="Times New Roman" w:hAnsi="Times New Roman" w:cs="Times New Roman" w:eastAsia="Times New Roman"/>
                <w:b w:val="false"/>
                <w:sz w:val="26"/>
              </w:rPr>
              <w:t>01-08-2016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áp dụng biện pháp bảo đảm, cưỡng chế thi hành án phải tương ứng với nghĩa vụ của người phải thi hành án và các chi phí cần thiết, trừ trường hợp người phải thi hành án tự nguyện đề nghị kê biên tài sản cụ thể trong số nhiều tài sản mà không gây trở ngại cho việc thi hành án và tài sản đó đủ để thi hành án, các chi phí liên quan. Người phải thi hành án bị hạn chế quyền thực hiện giao dịch đối với các tài sản khác cho đến khi thực hiện xong nghĩa vụ thi hành án.
Trường hợp người phải thi hành án chỉ có một tài sản duy nhất lớn hơn nhiều lần so với nghĩa vụ phải thi hành án mà tài sản đó không thể phân chia được hoặc việc phân chia làm giảm đáng kể giá trị của tài sản thì Chấp hành viên vẫn có quyền áp dụng biện pháp bảo đảm, cưỡng chế để thi hành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2026-05-12T15:41:56Z</dcterms:created>
  <dc:creator>Apache POI</dc:creator>
</cp:coreProperties>
</file>