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2.001035.000.00.00.H32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1249/QĐ-UBND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giao dịch liên quan đến tài sản là động sản, quyền sử dụng đất,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nộp 01 bộ hồ sơ yêu cầu chứng thực.</w:t>
      </w:r>
    </w:p>
    <w:p>
      <w:pPr>
        <w:spacing w:after="0" w:before="0" w:lineRule="auto" w:line="276"/>
        <w:jc w:val="both"/>
      </w:pPr>
      <w:r>
        <w:rPr>
          <w:rFonts w:ascii="Times New Roman" w:hAnsi="Times New Roman" w:cs="Times New Roman" w:eastAsia="Times New Roman"/>
          <w:b w:val="false"/>
          <w:sz w:val="26"/>
        </w:rPr>
        <w:t>+ Người thực hiện chứng thực kiểm tra giấy tờ trong hồ sơ yêu cầu chứng thực, nếu đầy đủ, tại thời điểm chứng thực các bên tham gia hợp đồng, giao dịch tự nguyện, minh mẫn và nhận thức, làm chủ được hành vi của mình thì thực hiện chứng thực.</w:t>
      </w:r>
    </w:p>
    <w:p>
      <w:pPr>
        <w:spacing w:after="0" w:before="0" w:lineRule="auto" w:line="276"/>
        <w:jc w:val="both"/>
      </w:pPr>
      <w:r>
        <w:rPr>
          <w:rFonts w:ascii="Times New Roman" w:hAnsi="Times New Roman" w:cs="Times New Roman" w:eastAsia="Times New Roman"/>
          <w:b w:val="false"/>
          <w:sz w:val="26"/>
        </w:rPr>
        <w:t>+ Các bên tham gia hợp đồng, giao dịch phải ký trước mặt người thực hiện chứng thực. Trường hợp người có thẩm quyền giao kết hợp đồng của các tổ chức tín dụng, doanh nghiệp đã đăng ký chữ ký mẫu tại cơ quan thực hiện chứng thực thì có thể ký trước vào hợp đồng; người thực hiện chứng thực phải đối chiếu chữ ký của họ trong hợp đồng với chữ ký mẫu trước khi thực hiện chứng thực, nếu nghi ngờ chữ ký trong hợp đồng khác với chữ ký mẫu thì yêu cầu người đó ký trước mặt.</w:t>
      </w:r>
    </w:p>
    <w:p>
      <w:pPr>
        <w:spacing w:after="0" w:before="0" w:lineRule="auto" w:line="276"/>
        <w:jc w:val="both"/>
      </w:pPr>
      <w:r>
        <w:rPr>
          <w:rFonts w:ascii="Times New Roman" w:hAnsi="Times New Roman" w:cs="Times New Roman" w:eastAsia="Times New Roman"/>
          <w:b w:val="false"/>
          <w:sz w:val="26"/>
        </w:rPr>
        <w:t>+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hợp đồng, giao dịch. Người làm chứng do người yêu cầu chứng thực bố trí. Trường hợp người yêu cầu chứng thực không bố trí được thì đề nghị cơ quan thực hiện chứng thực chỉ định người làm chứng.</w:t>
      </w:r>
    </w:p>
    <w:p>
      <w:pPr>
        <w:spacing w:after="0" w:before="0" w:lineRule="auto" w:line="276"/>
        <w:jc w:val="both"/>
      </w:pPr>
      <w:r>
        <w:rPr>
          <w:rFonts w:ascii="Times New Roman" w:hAnsi="Times New Roman" w:cs="Times New Roman" w:eastAsia="Times New Roman"/>
          <w:b w:val="false"/>
          <w:sz w:val="26"/>
        </w:rPr>
        <w:t>+ Người thực hiện chứng thực ghi lời chứng tương ứng với từng loại hợp đồng, giao dịch theo mẫu quy định; ký, ghi rõ họ tên, đóng dấu của cơ quan thực hiện chứng thực và ghi vào sổ chứng thực. Đối với hợp đồng, giao dịch có từ 02 (hai) trang trở lên, thì từng trang phải được đánh số thứ tự, có chữ ký của người yêu cầu chứng thực và người thực hiện chứng thực; số lượng trang và lời chứng được ghi tại trang cuối của hợp đồng, giao dịch. Trường hợp hợp đồng, giao dịch có từ 02 (hai) tờ trở lên thì phải đóng dấu giáp lai.</w:t>
      </w:r>
    </w:p>
    <w:p>
      <w:pPr>
        <w:spacing w:after="0" w:before="0" w:lineRule="auto" w:line="276"/>
        <w:jc w:val="both"/>
      </w:pPr>
      <w:r>
        <w:rPr>
          <w:rFonts w:ascii="Times New Roman" w:hAnsi="Times New Roman" w:cs="Times New Roman" w:eastAsia="Times New Roman"/>
          <w:b w:val="false"/>
          <w:sz w:val="26"/>
        </w:rPr>
        <w:t>+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hợp đồng, giao dịch, nội dung lời chứng cho người yêu cầu chứng thực và ký vào từng trang hợp đồng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Không quá 02 (hai) ngày làm việc hoặc có thể kéo dài hơn theo thỏa thuận bằng văn bản với người yêu cầu chứng thực.  -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(hợp đồng, giao dịch)</w:t>
            </w:r>
          </w:p>
        </w:tc>
        <w:tc>
          <w:p/>
          <w:p>
            <w:pPr>
              <w:spacing w:after="0" w:before="0" w:lineRule="auto" w:line="276"/>
              <w:jc w:val="left"/>
            </w:pPr>
            <w:r>
              <w:rPr>
                <w:rFonts w:ascii="Times New Roman" w:hAnsi="Times New Roman" w:cs="Times New Roman" w:eastAsia="Times New Roman"/>
                <w:b w:val="false"/>
                <w:sz w:val="26"/>
              </w:rPr>
              <w:t>- Không quá 02 (hai) ngày làm việc hoặc có thể kéo dài hơn theo thỏa thuận bằng văn bản với người yêu cầu chứng thực.  - Trường hợp kéo dài thời hạn giải quyết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Không quá 02 (hai) ngày làm việc hoặc có thể kéo dài hơn theo thỏa thuận bằng văn bản với người yêu cầu chứng thực.  -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(hợp đồng, giao dịch)</w:t>
            </w:r>
          </w:p>
        </w:tc>
        <w:tc>
          <w:p/>
          <w:p>
            <w:pPr>
              <w:spacing w:after="0" w:before="0" w:lineRule="auto" w:line="276"/>
              <w:jc w:val="left"/>
            </w:pPr>
            <w:r>
              <w:rPr>
                <w:rFonts w:ascii="Times New Roman" w:hAnsi="Times New Roman" w:cs="Times New Roman" w:eastAsia="Times New Roman"/>
                <w:b w:val="false"/>
                <w:sz w:val="26"/>
              </w:rPr>
              <w:t>- Không quá 02 (hai) ngày làm việc hoặc có thể kéo dài hơn theo thỏa thuận bằng văn bản với người yêu cầu chứng thực.  - Trường hợp kéo dài thời hạn giải quyết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Không quá 02 (hai) ngày làm việc hoặc có thể kéo dài hơn theo thỏa thuận bằng văn bản với người yêu cầu chứng thực.  -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(hợp đồng, giao dịch)</w:t>
            </w:r>
          </w:p>
        </w:tc>
        <w:tc>
          <w:p/>
          <w:p>
            <w:pPr>
              <w:spacing w:after="0" w:before="0" w:lineRule="auto" w:line="276"/>
              <w:jc w:val="left"/>
            </w:pPr>
            <w:r>
              <w:rPr>
                <w:rFonts w:ascii="Times New Roman" w:hAnsi="Times New Roman" w:cs="Times New Roman" w:eastAsia="Times New Roman"/>
                <w:b w:val="false"/>
                <w:sz w:val="26"/>
              </w:rPr>
              <w:t>- Không quá 02 (hai) ngày làm việc hoặc có thể kéo dài hơn theo thỏa thuận bằng văn bản với người yêu cầu chứng thực.  - Trường hợp kéo dài thời hạn giải quyết thì người tiếp nhận hồ sơ phải có phiếu hẹn ghi rõ thời gian (giờ, ngày) trả kết quả cho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giao dịch liên quan đến tài sản đó; trừ trường hợp người lập di chúc đang bị cái chết đe dọa đến tính mạng. Trường hợp nộp hồ sơ trực tiếp, người yêu cầu chứng thực có thể nộp bản sao kèm xuất trình bản chính để đối chiếu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giao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PVHHC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Giao dịch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2026-05-21T13:44:36Z</dcterms:created>
  <dc:creator>Apache POI</dc:creator>
</cp:coreProperties>
</file>