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1249/QĐ-UBND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bên tham gia thỏa thuận phân chia di sản phải ký trước mặt người thực hiện chứng thực.</w:t>
      </w:r>
    </w:p>
    <w:p>
      <w:pPr>
        <w:spacing w:after="0" w:before="0" w:lineRule="auto" w:line="276"/>
        <w:jc w:val="both"/>
      </w:pPr>
      <w:r>
        <w:rPr>
          <w:rFonts w:ascii="Times New Roman" w:hAnsi="Times New Roman" w:cs="Times New Roman" w:eastAsia="Times New Roman"/>
          <w:b w:val="false"/>
          <w:sz w:val="26"/>
        </w:rPr>
        <w:t xml:space="preserve"> Người yêu cầu chứng thực nộp 01 bộ hồ sơ yêu cầu chứng thực.</w:t>
      </w:r>
    </w:p>
    <w:p>
      <w:pPr>
        <w:spacing w:after="0" w:before="0" w:lineRule="auto" w:line="276"/>
        <w:jc w:val="both"/>
      </w:pPr>
      <w:r>
        <w:rPr>
          <w:rFonts w:ascii="Times New Roman" w:hAnsi="Times New Roman" w:cs="Times New Roman" w:eastAsia="Times New Roman"/>
          <w:b w:val="false"/>
          <w:sz w:val="26"/>
        </w:rPr>
        <w:t xml:space="preserve"> Người thực hiện chứng thực kiểm tra giấy tờ trong hồ sơ yêu cầu chứng thực, nếu đầy đủ, tại thời điểm chứng thực các bên tham gia thỏa thuận phân chia di sản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Người thực hiện chứng thực ghi lời chứng theo mẫu quy định; ký, ghi rõ họ tên, đóng dấu của cơ quan thực hiện chứng thực và ghi vào sổ chứng thực. Đối với văn bản thỏa thuận có từ 02 (hai) trang trở lên, thì từng trang phải được đánh số thứ tự, có chữ ký của người yêu cầu chứng thực và người thực hiện chứng thực; số lượng trang và lời chứng được ghi tại trang cuối của văn bản thỏa thuận. Trường hợp văn bản thỏa thuận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2026-05-07T21:21:25Z</dcterms:created>
  <dc:creator>Apache POI</dc:creator>
</cp:coreProperties>
</file>