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ưu đãi trong giáo dục đào tạo đối với người có công với cách mạng và con của họ</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với cách mạng hoặc con của người có công lập tờ khai kèm giấy xác nhận của cơ sở giáo dục phổ thông hoặc cơ sở giáo dục nghề nghiệp, đại học gửi đến Ủy ban nhân dân cấp xã nơi thường trú của người có công vào đầu mỗi năm học hoặc khóa học
Bước 2: Ủy ban nhân dân cấp xã trong thời gian 03 ngày làm việc kể từ ngày nhận được bản khai, có trách nhiệm xác nhận các yếu tố trong bản khai, lập danh sách kèm các giấy tờ gửi Phòng Lao động - Thương binh và Xã hội
Trường hợp người có công với cách mạng đang hưởng trợ cấp ưu đãi hàng tháng thuộc cơ quan, đơn vị quân đội, công an, trung tâm nuôi dưỡng thương binh, bệnh binh nặng và người có công thuộc ngành Lao động - Thương binh và Xã hội quản lý thì các cơ quan này chịu trách nhiệm xác nhận (trong thời gian 03 ngày làm việc) và gửi về Phòng Lao động - Thương binh và Xã hội nơi thường trú của thân nhân người có công thuộc diện hưởng ưu đãi trong giáo dục đào tạo
Bước 3: Phòng Lao động - Thương binh và Xã hội trong thời gian 05 ngày làm việc kể từ ngày nhận đủ các giấy tờ hợp lệ, có trách nhiệm thẩm định hồ sơ, lập danh sách kèm giấy tờ gửi Sở Lao động - Thương binh và Xã hội
Bước 4: Sở Lao động - Thương binh và Xã hội trong thời gian 05 ngày làm việc kể từ ngày nhận đủ các giấy tờ hợp lệ có trách nhiệm kiểm tra danh sách, đối chiếu với hồ sơ người có công, ra Quyết định giải quyết chế độ ưu đãi trong giáo dục đào tạo (Mẫu số 03-ƯĐGD) đối với các trường hợp đủ điều kiện; chuyển Quyết định và 01 danh sách đã được phê duyệt về Phòng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giải quyết chế độ ưu đãi trong giáo dục đào tạo (Mẫu số 01-ƯĐGD)</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sở giáo dục phổ thông hoặc cơ sở giáo dục nghề nghiệp, đại học (Mẫu số 02-ƯĐGD)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thực hiện chế độ ưu đãi trong giáo dục đào tạo (Mẫu số 03-ƯĐGD)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-Thương binh và Xã hội  - Tỉnh Lâm Đồng, UBND cấp huyện - Tỉnh Lâm Đồng, 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thường trú của người có công vào đầu mỗi năm học hoặc khóa học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36/2015/TT-BLĐTBXH</w:t>
            </w:r>
          </w:p>
        </w:tc>
        <w:tc>
          <w:p/>
          <w:p>
            <w:pPr>
              <w:spacing w:after="0" w:before="0" w:lineRule="auto" w:line="276"/>
              <w:jc w:val="left"/>
            </w:pPr>
            <w:r>
              <w:rPr>
                <w:rFonts w:ascii="Times New Roman" w:hAnsi="Times New Roman" w:cs="Times New Roman" w:eastAsia="Times New Roman"/>
                <w:b w:val="false"/>
                <w:sz w:val="26"/>
              </w:rPr>
              <w:t>Thông tư 36/2015/TT-BLĐTBXH - Hướng dẫn hồ sơ, trình tự thủ tục thực hiện chế độ ưu đãi trong giáo dục đào tạo đối với người có công với cách mạng và con của họ</w:t>
            </w:r>
          </w:p>
        </w:tc>
        <w:tc>
          <w:p/>
          <w:p>
            <w:pPr>
              <w:spacing w:after="0" w:before="0" w:lineRule="auto" w:line="276"/>
              <w:jc w:val="left"/>
            </w:pPr>
            <w:r>
              <w:rPr>
                <w:rFonts w:ascii="Times New Roman" w:hAnsi="Times New Roman" w:cs="Times New Roman" w:eastAsia="Times New Roman"/>
                <w:b w:val="false"/>
                <w:sz w:val="26"/>
              </w:rPr>
              <w:t>28-09-2015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