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huyện, chức sắc, chức việc, nhà tu hành gửi văn bản đề nghị đến Phòng Nội vụ.</w:t>
      </w:r>
    </w:p>
    <w:p>
      <w:pPr>
        <w:spacing w:after="0" w:before="0" w:lineRule="auto" w:line="276"/>
        <w:jc w:val="both"/>
      </w:pPr>
      <w:r>
        <w:rPr>
          <w:rFonts w:ascii="Times New Roman" w:hAnsi="Times New Roman" w:cs="Times New Roman" w:eastAsia="Times New Roman"/>
          <w:b w:val="false"/>
          <w:sz w:val="26"/>
        </w:rPr>
        <w:t>- Bước 2: Phòng Nội vụ xem xét hồ sơ, trường hợp hồ sơ chưa đầy đủ, hợp lệ, Phòng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 Bước 3:
+ Phòng Nội vụ phối hợp với các cơ quan liên quan thẩm định hồ sơ trình Ủy ban nhân dân cấp huyện.
+ Ủy ban nhân dân cấp huyện căn cứ vào Tờ trình của Phòng Nội vụ chấp thuận hoặc không chấp thuận về việc giảng đạo ngoài địa bàn phụ trách, cuộc lễ ngoài cơ sở tôn giáo, địa điểm hợp pháp đã đăng ký. Trường hợp từ chối đề nghị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25 ngày kể từ ngày Phòng Nội vụ nhận đủ hồ sơ đề nghị hợp lệ. Nộp hồ sơ trực tiếp tại Phòng Nội vụ; qua đường bưu chính hoặc thông qua dịch vụ công trực tuyến. 
Phòng Nội vụ tiếp nhận hồ sơ và có giấy hẹn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Mau 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 hoặc Trung tâm Hành chính công cấp huyện;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giảng đạo ngoài địa bàn phụ trách, cơ sở tôn giáo, địa điểm hợp pháp đã đăng ký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2026-05-26T03:52:40Z</dcterms:created>
  <dc:creator>Apache POI</dc:creator>
</cp:coreProperties>
</file>