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1747/QĐ-BGTVT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xây dựng biển quảng cáo tạm thời trong phạm vi hành lang an toàn đường bộ đối với hệ thống quốc lộ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đơn vị nộp hồ sơ đề nghị Chấp thuận xây dựng biển quảng cáo tạm thời trong phạm vi hành lang an toàn đường bộ của quốc lộ đang khai thác đến Cục Đường cao tốc Việt Nam, Khu Quản lý đường bộ, Sở Giao thông vận tải (thuộc phạm vi được giao quản lý).</w:t>
      </w:r>
    </w:p>
    <w:p>
      <w:pPr>
        <w:spacing w:after="0" w:before="0" w:lineRule="auto" w:line="276"/>
        <w:jc w:val="both"/>
      </w:pPr>
      <w:r>
        <w:rPr>
          <w:rFonts w:ascii="Times New Roman" w:hAnsi="Times New Roman" w:cs="Times New Roman" w:eastAsia="Times New Roman"/>
          <w:b w:val="false"/>
          <w:sz w:val="26"/>
        </w:rPr>
        <w:t>b) Giải quyết TTHC:
- Cục Đường cao tốc Việt Nam, Khu Quản lý đường bộ, Sở Giao thông vận tải tiếp nhận, kiểm tra hồ sơ. Đối với trường hợp nộp trực tiếp: sau khi kiểm tra thành phần hồ sơ, nếu đúng quy định thì tiếp nhận hồ sơ; nếu không đúng quy định, hướng dẫn tổ chức, cá nhân hoàn thiện hồ sơ. Đối với trường hợp nộp qua hệ thống bưu chính hoặc bằng các hình thức phù hợp khác, cơ quan có thẩm quyền tiếp nhận hồ sơ. Trường hợp hồ sơ chưa đầy đủ theo quy định, chậm nhất sau 02 ngày làm việc kể từ ngày nhận hồ sơ phải có văn bản hướng dẫn cho tổ chức, cá nhân hoàn thiện.
- Cục Đường cao tốc Việt Nam, Khu Quản lý đường bộ, Sở Giao thông vận tải giải quyết thủ tục tiến hành thẩm định hồ sơ, nếu đủ điều kiện thì chấp thuận. Trường hợp không chấp thuận,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xây dựng công trình trong phạm vi bảo vệ kết cấu hạ tầng giao thông đường bộ theo mẫu</w:t>
            </w:r>
          </w:p>
        </w:tc>
        <w:tc>
          <w:p/>
          <w:p>
            <w:pPr>
              <w:spacing w:after="0" w:before="0" w:lineRule="auto" w:line="276"/>
              <w:jc w:val="left"/>
            </w:pPr>
            <w:r>
              <w:rPr>
                <w:rFonts w:ascii="Times New Roman" w:hAnsi="Times New Roman" w:cs="Times New Roman" w:eastAsia="Times New Roman"/>
                <w:b w:val="false"/>
                <w:sz w:val="26"/>
              </w:rPr>
              <w:t>PHỤ LỤC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thiết kế công trình (thiết kế kỹ thuật hoặc thiết kế bản vẽ thi công), báo cáo kinh tế - kỹ thuật đã được cấp có thẩm quyền phê duyệt bao gồm các thông tin về vị trí và lý trình công trình đường bộ tại nơi xây dựng công trình; bản vẽ thể hiện diện tích, kích thước công trình trên mặt bằng công trình đường bộ và trong phạm vi đất dành cho đường bộ; bản vẽ thể hiện mặt đứng và khoảng cách theo phương thẳng đứng từ công trình bên trên hoặc bên dưới đến bề mặt công trình đường bộ, khoảng cách theo phương ngang từ cột, tuyến đường dây, đường ống, bộ phận khác của công trình đến mép ngoài rãnh thoát nước dọc, mép mặt đường xe chạy hoặc mép ngoài cùng của mặt đường bộ; bộ phận công trình đường bộ phải đào, khoan khi xây dựng công trình; thiết kế kết cấu và biện pháp thi công hoàn trả công trình đường bộ trong phạm vi đất dành cho đường bộ bị đào hoặc ảnh hưởng do thi công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Công trình lắp đặt vào cầu, hầm hoặc các công trình đường bộ có kết cấu phức tạp khác ngoài hồ sơ quy định phải có báo cáo kết quả thẩm tra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công trình xây dựng trong phạm vi dải phân cách giữa của đường bộ, ngoài hồ sơ quy định phải có thông tin về khoảng cách theo phương thẳng đứng từ công trình đến bề mặt dải phân cách giữa, từ công trình đến mép ngoài dải phân cách giữa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cao tốc Việt Nam, Khu Quản lý đường bộ,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11/2010/NĐ-CP</w:t>
            </w:r>
          </w:p>
        </w:tc>
        <w:tc>
          <w:p/>
          <w:p>
            <w:pPr>
              <w:spacing w:after="0" w:before="0" w:lineRule="auto" w:line="276"/>
              <w:jc w:val="left"/>
            </w:pPr>
            <w:r>
              <w:rPr>
                <w:rFonts w:ascii="Times New Roman" w:hAnsi="Times New Roman" w:cs="Times New Roman" w:eastAsia="Times New Roman"/>
                <w:b w:val="false"/>
                <w:sz w:val="26"/>
              </w:rPr>
              <w:t>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24-02-2010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50/2015/TT-BGTVT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23-09-2015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39/2021/TT-BGTVT</w:t>
            </w:r>
          </w:p>
        </w:tc>
        <w:tc>
          <w:p/>
          <w:p>
            <w:pPr>
              <w:spacing w:after="0" w:before="0" w:lineRule="auto" w:line="276"/>
              <w:jc w:val="left"/>
            </w:pPr>
            <w:r>
              <w:rPr>
                <w:rFonts w:ascii="Times New Roman" w:hAnsi="Times New Roman" w:cs="Times New Roman" w:eastAsia="Times New Roman"/>
                <w:b w:val="false"/>
                <w:sz w:val="26"/>
              </w:rPr>
              <w:t>Thông tư 39/2021/TT-BGTVT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06/2023/TT-BGTVT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quản lý, khai thác, sử dụng, bảo trì và bảo vệ đường bộ</w:t>
            </w:r>
          </w:p>
        </w:tc>
        <w:tc>
          <w:p/>
          <w:p>
            <w:pPr>
              <w:spacing w:after="0" w:before="0" w:lineRule="auto" w:line="276"/>
              <w:jc w:val="left"/>
            </w:pPr>
            <w:r>
              <w:rPr>
                <w:rFonts w:ascii="Times New Roman" w:hAnsi="Times New Roman" w:cs="Times New Roman" w:eastAsia="Times New Roman"/>
                <w:b w:val="false"/>
                <w:sz w:val="26"/>
              </w:rPr>
              <w:t>15-12-2023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Tuân theo các quy định của pháp luật về quảng cáo và về quản lý, bảo vệ kết cấu hạ tầng giao thông đường bộ.
- Cá nhân, tổ chức được phép lắp đặt biển quảng cáo chịu toàn bộ trách nhiệm liên quan do việc lắp đặt biển quảng cáo gây ra.
- Chủ công trình biển quảng cáo phải di chuyển hoặc cải tạo biển đúng tiến độ theo yêu cầu của cơ quan quản lý đường bộ có thẩm quyền; không được yêu cầu bồi thường và phải chịu hoàn toàn trách nhiệm kinh phí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2026-05-25T07:51:01Z</dcterms:created>
  <dc:creator>Apache POI</dc:creator>
</cp:coreProperties>
</file>