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1.005385.000.00.00.H12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vào làm công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1. Thành lập Hội đồng kiểm tra, sát hạch khi tiếp nhận vào công chức đối với các trường hợp:</w:t>
      </w:r>
    </w:p>
    <w:p>
      <w:pPr>
        <w:spacing w:after="0" w:before="0" w:lineRule="auto" w:line="276"/>
        <w:jc w:val="both"/>
      </w:pPr>
      <w:r>
        <w:rPr>
          <w:rFonts w:ascii="Times New Roman" w:hAnsi="Times New Roman" w:cs="Times New Roman" w:eastAsia="Times New Roman"/>
          <w:b w:val="false"/>
          <w:sz w:val="26"/>
        </w:rPr>
        <w:t>+ Sát hạch về trình độ hiểu biết chung và năng lực chuyên môn, nghiệp vụ của người được đề nghị tiếp nhận. Hình thức và nội dung sát hạch do Hội đồng kiểm tra, sát hạch căn cứ vào yêu cầu của vị trí việc làm cần tuyển, báo cáo người đứng đầu cơ quan quản lý công chức xem xét, quyết định trước khi tổ chức sát hạch;</w:t>
      </w:r>
    </w:p>
    <w:p>
      <w:pPr>
        <w:spacing w:after="0" w:before="0" w:lineRule="auto" w:line="276"/>
        <w:jc w:val="both"/>
      </w:pPr>
      <w:r>
        <w:rPr>
          <w:rFonts w:ascii="Times New Roman" w:hAnsi="Times New Roman" w:cs="Times New Roman" w:eastAsia="Times New Roman"/>
          <w:b w:val="false"/>
          <w:sz w:val="26"/>
        </w:rPr>
        <w:t>+ Hội đồng kiểm tra, sát hạch làm việc theo nguyên tắc tập thể, quyết định theo đa số. Trường hợp số ý kiến bằng nhau thì quyết định theo ý kiến của Chủ tịch Hội đồng kiểm tra, sát hạch. Hội đồng kiểm tra, sát hạch tự giải thể sau khi hoàn thành nhiệm vụ.</w:t>
      </w:r>
    </w:p>
    <w:p>
      <w:pPr>
        <w:spacing w:after="0" w:before="0" w:lineRule="auto" w:line="276"/>
        <w:jc w:val="both"/>
      </w:pPr>
      <w:r>
        <w:rPr>
          <w:rFonts w:ascii="Times New Roman" w:hAnsi="Times New Roman" w:cs="Times New Roman" w:eastAsia="Times New Roman"/>
          <w:b w:val="false"/>
          <w:sz w:val="26"/>
        </w:rPr>
        <w:t>+ Kiểm tra về các điều kiện, tiêu chuẩn, văn bằng, chứng chỉ của người được đề nghị tiếp nhận theo yêu cầu của vị trí việc làm cần tuyển;</w:t>
      </w:r>
    </w:p>
    <w:p>
      <w:pPr>
        <w:spacing w:after="0" w:before="0" w:lineRule="auto" w:line="276"/>
        <w:jc w:val="both"/>
      </w:pPr>
      <w:r>
        <w:rPr>
          <w:rFonts w:ascii="Times New Roman" w:hAnsi="Times New Roman" w:cs="Times New Roman" w:eastAsia="Times New Roman"/>
          <w:b w:val="false"/>
          <w:sz w:val="26"/>
        </w:rPr>
        <w:t>+ Phó Chủ tịch Hội đồng là người đứng đầu bộ phận tham mưu về công tác tổ chức cán bộ của cơ quan quản lý công chức;</w:t>
      </w:r>
    </w:p>
    <w:p>
      <w:pPr>
        <w:spacing w:after="0" w:before="0" w:lineRule="auto" w:line="276"/>
        <w:jc w:val="both"/>
      </w:pPr>
      <w:r>
        <w:rPr>
          <w:rFonts w:ascii="Times New Roman" w:hAnsi="Times New Roman" w:cs="Times New Roman" w:eastAsia="Times New Roman"/>
          <w:b w:val="false"/>
          <w:sz w:val="26"/>
        </w:rPr>
        <w:t>+ Một Ủy viên kiêm Thư ký Hội đồng là công chức của bộ phận tham mưu về công tác tổ chức cán bộ của cơ quan quản lý công chức;</w:t>
      </w:r>
    </w:p>
    <w:p>
      <w:pPr>
        <w:spacing w:after="0" w:before="0" w:lineRule="auto" w:line="276"/>
        <w:jc w:val="both"/>
      </w:pPr>
      <w:r>
        <w:rPr>
          <w:rFonts w:ascii="Times New Roman" w:hAnsi="Times New Roman" w:cs="Times New Roman" w:eastAsia="Times New Roman"/>
          <w:b w:val="false"/>
          <w:sz w:val="26"/>
        </w:rPr>
        <w:t>+ Các Ủy viên khác là đại diện một số bộ phận chuyên môn, nghiệp vụ có liên quan đến vị trí tuyển dụng do người đứng đầu cơ quan quản lý công chức quyết định.</w:t>
      </w:r>
    </w:p>
    <w:p>
      <w:pPr>
        <w:spacing w:after="0" w:before="0" w:lineRule="auto" w:line="276"/>
        <w:jc w:val="both"/>
      </w:pPr>
      <w:r>
        <w:rPr>
          <w:rFonts w:ascii="Times New Roman" w:hAnsi="Times New Roman" w:cs="Times New Roman" w:eastAsia="Times New Roman"/>
          <w:b w:val="false"/>
          <w:sz w:val="26"/>
        </w:rPr>
        <w:t>* Nhiệm vụ, quyền hạn của Hội đồng kiểm tra, sát hạch:</w:t>
      </w:r>
    </w:p>
    <w:p>
      <w:pPr>
        <w:spacing w:after="0" w:before="0" w:lineRule="auto" w:line="276"/>
        <w:jc w:val="both"/>
      </w:pPr>
      <w:r>
        <w:rPr>
          <w:rFonts w:ascii="Times New Roman" w:hAnsi="Times New Roman" w:cs="Times New Roman" w:eastAsia="Times New Roman"/>
          <w:b w:val="false"/>
          <w:sz w:val="26"/>
        </w:rPr>
        <w:t>Có ít nhất 05 năm công tác ở vị trí việc làm yêu cầu trình độ đào tạo đại học trở lên phù hợp với yêu cầu của vị trí việc làm cần tuyển dụng và có đóng bảo hiểm xã hội bắt buộc (không kể thời gian tập sự, thử việc, nếu có thời gian công tác có đóng bảo hiểm xã hội bắt buộc không liên tục mà chưa nhận trợ cấp bảo hiểm xã hội một lần thì được cộng dồn), gồm:</w:t>
      </w:r>
    </w:p>
    <w:p>
      <w:pPr>
        <w:spacing w:after="0" w:before="0" w:lineRule="auto" w:line="276"/>
        <w:jc w:val="both"/>
      </w:pPr>
      <w:r>
        <w:rPr>
          <w:rFonts w:ascii="Times New Roman" w:hAnsi="Times New Roman" w:cs="Times New Roman" w:eastAsia="Times New Roman"/>
          <w:b w:val="false"/>
          <w:sz w:val="26"/>
        </w:rPr>
        <w:t>- Viên chức trong các đơn vị sự nghiệp công lập;</w:t>
      </w:r>
    </w:p>
    <w:p>
      <w:pPr>
        <w:spacing w:after="0" w:before="0" w:lineRule="auto" w:line="276"/>
        <w:jc w:val="both"/>
      </w:pPr>
      <w:r>
        <w:rPr>
          <w:rFonts w:ascii="Times New Roman" w:hAnsi="Times New Roman" w:cs="Times New Roman" w:eastAsia="Times New Roman"/>
          <w:b w:val="false"/>
          <w:sz w:val="26"/>
        </w:rPr>
        <w:t>- Người hưởng lương trong lực lượng vũ trang (quân đội, công an) và người làm công tác cơ yếu;</w:t>
      </w:r>
    </w:p>
    <w:p>
      <w:pPr>
        <w:spacing w:after="0" w:before="0" w:lineRule="auto" w:line="276"/>
        <w:jc w:val="both"/>
      </w:pPr>
      <w:r>
        <w:rPr>
          <w:rFonts w:ascii="Times New Roman" w:hAnsi="Times New Roman" w:cs="Times New Roman" w:eastAsia="Times New Roman"/>
          <w:b w:val="false"/>
          <w:sz w:val="26"/>
        </w:rPr>
        <w:t>- Người đang giữ chức danh, chức vụ tại doanh nghiệp là công ty trách nhiệm hữu hạn một thành viên mà Nhà nước nắm giữ 100% vốn điều lệ hoặc được cử làm người đại diện phần vốn nhà nước giữ các chức danh quản lý tại doanh nghiệp mà Nhà nước nắm giữ trên 50% vốn điều lệ.</w:t>
      </w:r>
    </w:p>
    <w:p>
      <w:pPr>
        <w:spacing w:after="0" w:before="0" w:lineRule="auto" w:line="276"/>
        <w:jc w:val="both"/>
      </w:pPr>
      <w:r>
        <w:rPr>
          <w:rFonts w:ascii="Times New Roman" w:hAnsi="Times New Roman" w:cs="Times New Roman" w:eastAsia="Times New Roman"/>
          <w:b w:val="false"/>
          <w:sz w:val="26"/>
        </w:rPr>
        <w:t>* Người đứng đầu cơ quan quản lý công chức phải thành lập Hội đồng kiểm tra, sát hạch. Hội đồng kiểm tra, sát hạch có 05 hoặc 07 thành viên, bao gồm:</w:t>
      </w:r>
    </w:p>
    <w:p>
      <w:pPr>
        <w:spacing w:after="0" w:before="0" w:lineRule="auto" w:line="276"/>
        <w:jc w:val="both"/>
      </w:pPr>
      <w:r>
        <w:rPr>
          <w:rFonts w:ascii="Times New Roman" w:hAnsi="Times New Roman" w:cs="Times New Roman" w:eastAsia="Times New Roman"/>
          <w:b w:val="false"/>
          <w:sz w:val="26"/>
        </w:rPr>
        <w:t>+ Chủ tịch Hội đồng là người đứng đầu hoặc cấp phó của người đứng đầu cơ quan quản lý công chức;</w:t>
      </w:r>
    </w:p>
    <w:p>
      <w:pPr>
        <w:shd w:val="clear" w:color="auto" w:fill="F2F6F9"/>
        <w:spacing w:after="0" w:before="120" w:lineRule="auto" w:line="276"/>
        <w:jc w:val="both"/>
      </w:pPr>
      <w:r>
        <w:rPr>
          <w:rFonts w:ascii="Times New Roman" w:hAnsi="Times New Roman" w:cs="Times New Roman" w:eastAsia="Times New Roman"/>
          <w:b w:val="true"/>
          <w:sz w:val="26"/>
        </w:rPr>
        <w:t>Trường hợp 2. Không thành lập Hội đồng kiểm tra, sát hạch khi tiếp nhận vào công chức đối với các truờng hợp:</w:t>
      </w:r>
    </w:p>
    <w:p>
      <w:pPr>
        <w:spacing w:after="0" w:before="0" w:lineRule="auto" w:line="276"/>
        <w:jc w:val="both"/>
      </w:pPr>
      <w:r>
        <w:rPr>
          <w:rFonts w:ascii="Times New Roman" w:hAnsi="Times New Roman" w:cs="Times New Roman" w:eastAsia="Times New Roman"/>
          <w:b w:val="false"/>
          <w:sz w:val="26"/>
        </w:rPr>
        <w:t>Đã là cán bộ, công chức từ cấp huyện trở lên sau đó được cấp có thẩm quyền điều động, luân chuyển đến làm việc tại đơn vị sự nghiệp công lập, lực lượng vũ trang, cơ yếu, tổ chức chính trị - xã hội - nghề nghiệp, tổ chức xã hội, tổ chức xã hội - nghề nghiệp hoặc được bổ nhiệm giữ chức danh, chức vụ tại doanh nghiệp là công ty trách nhiệm hữu hạn một thành viên mà Nhà nước nắm giữ 100% vốn điều lệ hoặc được cử làm người đại diện phần vốn nhà nước giữ chức danh quản lý tại doanh nghiệp mà Nhà nước nắm giữ trên 50% vốn điều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theo (Khoản 3 Điều 18 Nghị định số 138/2020/NĐ- CP ngày 27/11/2020)</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Sơ yếu lý lịch công chức theo quy định hiện hành được lập chậm nhất là 30 ngày trước ngày nộp hồ sơ tiếp nhận, có xác nhận của cơ quan, tổ chức, đơn vị nơi công tác;</w:t>
            </w:r>
          </w:p>
        </w:tc>
        <w:tc>
          <w:p/>
          <w:p>
            <w:pPr>
              <w:spacing w:after="0" w:before="0" w:lineRule="auto" w:line="276"/>
              <w:jc w:val="left"/>
            </w:pPr>
            <w:r>
              <w:rPr>
                <w:rFonts w:ascii="Times New Roman" w:hAnsi="Times New Roman" w:cs="Times New Roman" w:eastAsia="Times New Roman"/>
                <w:b w:val="false"/>
                <w:sz w:val="26"/>
              </w:rPr>
              <w:t>Mẫu phiếu đăng ký dự tuyển.docx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các văn bằng, chứng chỉ theo yêu cầu của vị trí việc làm cần tuyển;  Trường hợp người được đề nghị tiếp nhận có bằng tốt nghiệp chuyên môn đã chuẩn đầu ra về ngoại ngữ hoặc tin học theo quy định mà tương ứng với yêu cầu của vị trí việc làm dự tuyển thì không phải nộp chứng chỉ ngoại ngữ, tin học.  Trường hợp người được đề nghị tiếp nhận đáp ứng yêu cầu miễn phần thi ngoại ngữ hoặc tin học quy định tại khoản 1 Điều 8 Nghị định này thì không phải nộp chứng chỉ ngoại ngữ, tin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Giấy chứng nhận sức khỏe do cơ quan y tế có thẩm quyền cấp chậm nhất là 30 ngày trước ngày nộp hồ sơ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tự nhận xét, đánh giá của người được đề nghị tiếp nhận về phẩm chất chính trị, phẩm chất đạo đức, trình độ và năng lực chuyên môn, nghiệp vụ, quá trình công tác có xác nhận của người đứng đầu cơ quan, tổ chức, đơn vị nơi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05/2017/TT-BNV</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11/2014/TT-BNV ngày 09 tháng 10 năm 2014 và Thông tư số 13/2010/TT-BNV ngày 30 tháng 12 năm 2010 của Bộ trưởng Bộ Nội vụ về tiêu chuẩn nghiệp vụ chuyên môn,bổ nhiệm ngạch và xếp lương đối với các ngạch công chức chuyên ngành hành chính và việc tổ chức thi nâng ngạch công chức</w:t>
            </w:r>
          </w:p>
        </w:tc>
        <w:tc>
          <w:p/>
          <w:p>
            <w:pPr>
              <w:spacing w:after="0" w:before="0" w:lineRule="auto" w:line="276"/>
              <w:jc w:val="left"/>
            </w:pPr>
            <w:r>
              <w:rPr>
                <w:rFonts w:ascii="Times New Roman" w:hAnsi="Times New Roman" w:cs="Times New Roman" w:eastAsia="Times New Roman"/>
                <w:b w:val="false"/>
                <w:sz w:val="26"/>
              </w:rPr>
              <w:t>17-08-2015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11/2014/TT-BNV</w:t>
            </w:r>
          </w:p>
        </w:tc>
        <w:tc>
          <w:p/>
          <w:p>
            <w:pPr>
              <w:spacing w:after="0" w:before="0" w:lineRule="auto" w:line="276"/>
              <w:jc w:val="left"/>
            </w:pPr>
            <w:r>
              <w:rPr>
                <w:rFonts w:ascii="Times New Roman" w:hAnsi="Times New Roman" w:cs="Times New Roman" w:eastAsia="Times New Roman"/>
                <w:b w:val="false"/>
                <w:sz w:val="26"/>
              </w:rPr>
              <w:t>Quy định chức danh, mã số ngạch và tiêu chuẩn nghiệp vụ chuyên môn các ngạch công chức chuyên ngành hành chính</w:t>
            </w:r>
          </w:p>
        </w:tc>
        <w:tc>
          <w:p/>
          <w:p>
            <w:pPr>
              <w:spacing w:after="0" w:before="0" w:lineRule="auto" w:line="276"/>
              <w:jc w:val="left"/>
            </w:pPr>
            <w:r>
              <w:rPr>
                <w:rFonts w:ascii="Times New Roman" w:hAnsi="Times New Roman" w:cs="Times New Roman" w:eastAsia="Times New Roman"/>
                <w:b w:val="false"/>
                <w:sz w:val="26"/>
              </w:rPr>
              <w:t>09-10-2014</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 xml:space="preserve">22/2008/QH12 </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52/2019/QH14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138/2020/NĐ-CP</w:t>
            </w:r>
          </w:p>
        </w:tc>
        <w:tc>
          <w:p/>
          <w:p>
            <w:pPr>
              <w:spacing w:after="0" w:before="0" w:lineRule="auto" w:line="276"/>
              <w:jc w:val="left"/>
            </w:pPr>
            <w:r>
              <w:rPr>
                <w:rFonts w:ascii="Times New Roman" w:hAnsi="Times New Roman" w:cs="Times New Roman" w:eastAsia="Times New Roman"/>
                <w:b w:val="false"/>
                <w:sz w:val="26"/>
              </w:rPr>
              <w:t>Nghị định 138/2020/NĐ-CP</w:t>
            </w:r>
          </w:p>
        </w:tc>
        <w:tc>
          <w:p/>
          <w:p>
            <w:pPr>
              <w:spacing w:after="0" w:before="0" w:lineRule="auto" w:line="276"/>
              <w:jc w:val="left"/>
            </w:pPr>
            <w:r>
              <w:rPr>
                <w:rFonts w:ascii="Times New Roman" w:hAnsi="Times New Roman" w:cs="Times New Roman" w:eastAsia="Times New Roman"/>
                <w:b w:val="false"/>
                <w:sz w:val="26"/>
              </w:rPr>
              <w:t>27-11-2020</w:t>
            </w:r>
          </w:p>
        </w:tc>
        <w:tc>
          <w:p/>
        </w:tc>
      </w:tr>
      <w:tr>
        <w:tc>
          <w:p/>
          <w:p>
            <w:pPr>
              <w:spacing w:after="0" w:before="0" w:lineRule="auto" w:line="276"/>
              <w:jc w:val="left"/>
            </w:pPr>
            <w:r>
              <w:rPr>
                <w:rFonts w:ascii="Times New Roman" w:hAnsi="Times New Roman" w:cs="Times New Roman" w:eastAsia="Times New Roman"/>
                <w:b w:val="false"/>
                <w:sz w:val="26"/>
              </w:rPr>
              <w:t>79/2005/TT-BNV</w:t>
            </w:r>
          </w:p>
        </w:tc>
        <w:tc>
          <w:p/>
          <w:p>
            <w:pPr>
              <w:spacing w:after="0" w:before="0" w:lineRule="auto" w:line="276"/>
              <w:jc w:val="left"/>
            </w:pPr>
            <w:r>
              <w:rPr>
                <w:rFonts w:ascii="Times New Roman" w:hAnsi="Times New Roman" w:cs="Times New Roman" w:eastAsia="Times New Roman"/>
                <w:b w:val="false"/>
                <w:sz w:val="26"/>
              </w:rPr>
              <w:t>Thông tư 79/2005/TT-BNV</w:t>
            </w:r>
          </w:p>
        </w:tc>
        <w:tc>
          <w:p/>
          <w:p>
            <w:pPr>
              <w:spacing w:after="0" w:before="0" w:lineRule="auto" w:line="276"/>
              <w:jc w:val="left"/>
            </w:pPr>
            <w:r>
              <w:rPr>
                <w:rFonts w:ascii="Times New Roman" w:hAnsi="Times New Roman" w:cs="Times New Roman" w:eastAsia="Times New Roman"/>
                <w:b w:val="false"/>
                <w:sz w:val="26"/>
              </w:rPr>
              <w:t>10-08-2005</w:t>
            </w:r>
          </w:p>
        </w:tc>
        <w:tc>
          <w:p/>
        </w:tc>
      </w:tr>
      <w:tr>
        <w:tc>
          <w:p/>
          <w:p>
            <w:pPr>
              <w:spacing w:after="0" w:before="0" w:lineRule="auto" w:line="276"/>
              <w:jc w:val="left"/>
            </w:pPr>
            <w:r>
              <w:rPr>
                <w:rFonts w:ascii="Times New Roman" w:hAnsi="Times New Roman" w:cs="Times New Roman" w:eastAsia="Times New Roman"/>
                <w:b w:val="false"/>
                <w:sz w:val="26"/>
              </w:rPr>
              <w:t>13/2018/TT-BNV</w:t>
            </w:r>
          </w:p>
        </w:tc>
        <w:tc>
          <w:p/>
          <w:p>
            <w:pPr>
              <w:spacing w:after="0" w:before="0" w:lineRule="auto" w:line="276"/>
              <w:jc w:val="left"/>
            </w:pPr>
            <w:r>
              <w:rPr>
                <w:rFonts w:ascii="Times New Roman" w:hAnsi="Times New Roman" w:cs="Times New Roman" w:eastAsia="Times New Roman"/>
                <w:b w:val="false"/>
                <w:sz w:val="26"/>
              </w:rPr>
              <w:t>Thông tư 13/2018/TT-BNV</w:t>
            </w:r>
          </w:p>
        </w:tc>
        <w:tc>
          <w:p/>
          <w:p>
            <w:pPr>
              <w:spacing w:after="0" w:before="0" w:lineRule="auto" w:line="276"/>
              <w:jc w:val="left"/>
            </w:pPr>
            <w:r>
              <w:rPr>
                <w:rFonts w:ascii="Times New Roman" w:hAnsi="Times New Roman" w:cs="Times New Roman" w:eastAsia="Times New Roman"/>
                <w:b w:val="false"/>
                <w:sz w:val="26"/>
              </w:rPr>
              <w:t>19-10-2018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Về đối tượng tiếp nhận:
a) Viên chức công tác tại đơn vị sự nghiệp công lập;
b) Cán bộ, công chức cấp xã;
c) Người hưởng lương trong lực lượng vũ trang nhân dân, người làm việc trong tổ chức cơ yếu nhưng không phải là công chức;
d) Chủ tịch Hội đồng thành viên, Chủ tịch Hội đồng quản trị, Chủ tịch công ty, Thành viên Hội đồng thành viên, Thành viên Hội đồng quản trị, Kiểm soát viên, Tổng giám đốc, Phó Tổng giám đốc, Giám đốc, Phó giám đốc, Kế toán trưởng và người đang giữ chức vụ, chức danh quản lý từ cấp phòng trở lên trong doanh nghiệp do Nhà nước nắm giữ 100% vốn điều lệ, doanh nghiệp do Nhà nước nắm giữ trên 50% vốn điều lệ hoặc tổng số cổ phần có quyền biểu quyết;
đ) Người đã từng là cán bộ, công chức từ cấp huyện trở lên sau đó được cấp có thẩm quyền điều động, luân chuyển giữ các vị trí công tác không phải là cán bộ, công chức tại các cơ quan, tổ chức khác.
* Về tiêu chuẩn, điều kiện tiếp nhận:
Căn cứ yêu cầu của vị trí việc làm cần tuyển, người đứng đầu cơ quan quản lý công chức được quyền xem xét, tiếp nhận vào làm công chức đối với các trường hợp quy định tại khoản 1 Điều này nếu đáp ứng đủ điều kiện đăng ký dự tuyển công chức quy định tại khoản 1 Điều 36 Luật Cán bộ, công chức, không trong thời hạn xử lý kỷ luật, không trong thời gian thực hiện các quy định liên quan đến kỷ luật quy định tại Điều 82 của Luật Cán bộ, công chức được sửa đổi, bổ sung tại khoản 17 Điều 1 Luật sửa đổi, bổ sung một số điều của Luật Cán bộ, công chức và Luật Viên chức năm 2019 và các tiêu chuẩn, điều kiện sau:
a) Trường hợp quy định tại các điểm a, b và c khoản 1 Điều này phải có đủ 05 năm công tác trở lên (không kể thời gian tập sự, thử việc, nếu có thời gian công tác không liên tục thì đƣợc cộng dồn, kể cả thời gian công tác nếu có trước đó ở vị trí công việc thuộc các trƣờng hợp quy định tại các điểm a, b, c và d khoản 1 Điều này) làm công việc có yêu cầu trình độ đào tạo chuyên môn phù hợp với vị trí việc làm cần tuyển;
b) Trường hợp quy định tại điểm d khoản 1 Điều này chỉ thực hiện việc tiếp nhận để bổ nhiệm làm công chức giữ chức vụ lãnh đạo, quản lý, phải có đủ 05 năm công tác trở lên (không kể thời gian tập sự, thử việc) phù hợp với lĩnh vực tiếp nhận và phải được quy hoạch vào chức vụ bổ nhiệm hoặc chức vụ tương đương;
c) Trường hợp quy định tại điểm đ khoản 1 Điều này phải được cấp có thẩm quyền điều động, luân chuyển đến làm việc tại các cơ quan, tổ chức, đơn vị trong hệ thống chính trị theo yêu cầu nhiệm vụ và không yêu cầu phải có đủ thời gian 05 năm công tác trở lên làm việc tại cơ quan, tổ chức, đơn vị được điều động, luân chuyển đến; khi tiếp nhận vào làm công chức không phải thành lập Hội đồng kiểm tra, sát hạch.
* Khi tiếp nhận vào làm công chức để bổ nhiệm giữ chức danh lãnh đạo,
quản lý thì không phải thành lập Hội đồng kiểm tra, sát hạch nhƣng phải đáp ứng đầy đủ tiêu chuẩn, điều kiện bổ nhiệm và quy định tại khoản 2 Điều 18 Nghị định này. Quyết định bổ nhiệm đồng thời là quyết định tiếp nhận vào làm công chức và thực hiện như sau:
a) Trường hợp cơ quan quản lý công chức đồng thời là cơ quan có thẩm quyền bổ nhiệm hoặc là cấp dƣới của cơ quan có thẩm quyền bổ nhiệm thì quyết định bổ nhiệm đồng thời là quyết định tiếp nhận;
b) Trường hợp cơ quan quản lý công chức là cấp trên của cơ quan có thẩm quyền bổ nhiệm thì cơ quan có thẩm quyền bổ nhiệm phải báo cáo cơ quan quản lý công chức đồng ý về việc tiếp nhận trước khi quyết định bổ nhiệm.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2026-05-14T10:51:33Z</dcterms:created>
  <dc:creator>Apache POI</dc:creator>
</cp:coreProperties>
</file>