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1501/QĐ-BGTVT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thi công công trình đường bộ trên quốc lộ đang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Chủ đầu tư dự án hoặc nhà thầu nộp hồ sơ đề nghị Cấp phép thi công công trình đường bộ trên quốc lộ đang khai thác đến Khu Quản lý đường bộ hoặc Sở GTVT.</w:t>
      </w:r>
    </w:p>
    <w:p>
      <w:pPr>
        <w:spacing w:after="0" w:before="0" w:lineRule="auto" w:line="276"/>
        <w:jc w:val="both"/>
      </w:pPr>
      <w:r>
        <w:rPr>
          <w:rFonts w:ascii="Times New Roman" w:hAnsi="Times New Roman" w:cs="Times New Roman" w:eastAsia="Times New Roman"/>
          <w:b w:val="false"/>
          <w:sz w:val="26"/>
        </w:rPr>
        <w:t>b) Giải quyết TTHC:
- Đối với trường hợp nộp trực tiếp, sau khi kiểm tra thành phần hồ sơ, nếu đúng quy định thì Khu Quản lý đường bộ hoặc Sở GTVT tiếp nhận hồ sơ; nếu không đúng quy định , hướng dẫn tổ chức, cá nhân hoàn thiện hồ sơ.
 - Đối với trường hợp nộp qua hệ thống bưu chính hoặc bằng các hình thức phù hợp khác, Khu Quản lý đường bộ hoặc Sở GTVT tiếp nhận hồ sơ. Trường hợp hồ sơ chưa đầy đủ theo quy định, chậm nhất sau 02 ngày làm việc kể từ ngày nhận hồ sơ phải có văn bản hướng dẫn cho tổ chức, cá nhân hoàn thiện.
- Khu Quản lý đường bộ hoặc Sở GTVT tiến hành thẩm định hồ sơ, nếu đủ điều kiện cấp Giấy phép thi công. Trường hợp không cấp phép,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07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07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phép thi công công trình theo mẫu</w:t>
            </w:r>
          </w:p>
        </w:tc>
        <w:tc>
          <w:p/>
          <w:p>
            <w:pPr>
              <w:spacing w:after="0" w:before="0" w:lineRule="auto" w:line="276"/>
              <w:jc w:val="left"/>
            </w:pPr>
            <w:r>
              <w:rPr>
                <w:rFonts w:ascii="Times New Roman" w:hAnsi="Times New Roman" w:cs="Times New Roman" w:eastAsia="Times New Roman"/>
                <w:b w:val="false"/>
                <w:sz w:val="26"/>
              </w:rPr>
              <w:t>Mẫu3.doc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thiết kế bản vẽ thi công (trong đó có biện pháp tổ chức thi công bảo đảm an toàn giao thông) đã được cấp có thẩm quyền phê duyệt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phê duyệt hoặc chấp thuận thiết kế của cơ quan quản lý đường bộ có thẩm quyền (bản sao có chứng thực hoặc bản sao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Khu Quản lý đường bộ, 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11/2010/NĐ-CP</w:t>
            </w:r>
          </w:p>
        </w:tc>
        <w:tc>
          <w:p/>
          <w:p>
            <w:pPr>
              <w:spacing w:after="0" w:before="0" w:lineRule="auto" w:line="276"/>
              <w:jc w:val="left"/>
            </w:pPr>
            <w:r>
              <w:rPr>
                <w:rFonts w:ascii="Times New Roman" w:hAnsi="Times New Roman" w:cs="Times New Roman" w:eastAsia="Times New Roman"/>
                <w:b w:val="false"/>
                <w:sz w:val="26"/>
              </w:rPr>
              <w:t>Quy định về quản lý và bảo vệ kết cấu hạ tầng giao thông đường bộ</w:t>
            </w:r>
          </w:p>
        </w:tc>
        <w:tc>
          <w:p/>
          <w:p>
            <w:pPr>
              <w:spacing w:after="0" w:before="0" w:lineRule="auto" w:line="276"/>
              <w:jc w:val="left"/>
            </w:pPr>
            <w:r>
              <w:rPr>
                <w:rFonts w:ascii="Times New Roman" w:hAnsi="Times New Roman" w:cs="Times New Roman" w:eastAsia="Times New Roman"/>
                <w:b w:val="false"/>
                <w:sz w:val="26"/>
              </w:rPr>
              <w:t>24-02-2010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50/2015/TT-BGTVT</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Nghị định số 11/2010/NĐ-CP ngày 24 tháng 02 năm 2010 của Chính phủ quy định về quản lý và bảo vệ kết cấu hạ tầng giao thông đường bộ</w:t>
            </w:r>
          </w:p>
        </w:tc>
        <w:tc>
          <w:p/>
          <w:p>
            <w:pPr>
              <w:spacing w:after="0" w:before="0" w:lineRule="auto" w:line="276"/>
              <w:jc w:val="left"/>
            </w:pPr>
            <w:r>
              <w:rPr>
                <w:rFonts w:ascii="Times New Roman" w:hAnsi="Times New Roman" w:cs="Times New Roman" w:eastAsia="Times New Roman"/>
                <w:b w:val="false"/>
                <w:sz w:val="26"/>
              </w:rPr>
              <w:t>23-09-2015</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06/2023/TT-BGTVT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liên quan đến quản lý, khai thác, sử dụng, bảo trì và bảo vệ đường bộ</w:t>
            </w:r>
          </w:p>
        </w:tc>
        <w:tc>
          <w:p/>
          <w:p>
            <w:pPr>
              <w:spacing w:after="0" w:before="0" w:lineRule="auto" w:line="276"/>
              <w:jc w:val="left"/>
            </w:pPr>
            <w:r>
              <w:rPr>
                <w:rFonts w:ascii="Times New Roman" w:hAnsi="Times New Roman" w:cs="Times New Roman" w:eastAsia="Times New Roman"/>
                <w:b w:val="false"/>
                <w:sz w:val="26"/>
              </w:rPr>
              <w:t>15-12-2023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Dự án công trình đường bộ được Cục Đường bộ Việt Nam xem xét chấp thuận. 
- Có văn bản phê duyệt hoặc chấp thuận thiết kế của cơ quan quản lý đường bộ có thẩm quyền;
- Có Biện pháp tổ chức thi công bảo đảm an toàn giao thông (được cấp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2026-05-21T16:34:41Z</dcterms:created>
  <dc:creator>Apache POI</dc:creator>
</cp:coreProperties>
</file>