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2.000927.000.00.00.H56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1040/QĐ-VP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Sửa lỗi sai sót trong giao dịch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yêu cầu chứng thực xuất trình một trong các giấy tờ sau: Căn
cước điện tử; bản chính hoặc bản sao của Thẻ căn cước công dân hoặc Thẻ căn
cước hoặc Giấy chứng nhận căn cước hoặc Hộ chiếu hoặc giấy tờ xuất nhập
cảnh hoặc giấy tờ có giá trị đi lại quốc tế còn giá trị sử dụng và nộp 01 bộ hồ sơ
yêu cầu chứng thực.
+ Việc sửa lỗi sai sót trong khi ghi chép, đánh máy, in giao dịch đã được
chứng thực được thực hiện theo thỏa thuận bằng văn bản của các bên tham gia
giao dịch, nếu không làm ảnh hưởng đến quyền, nghĩa vụ của các bên và được
thực hiện tại cơ quan đã chứng thực giao dịch.
+ Người thực hiện chứng thực gạch chân lỗi sai sót cần sửa, đóng dấu của
cơ quan thực hiện chứng thực và ghi vào bên lề của giao dịch nội dung đã sửa,
họ tên, chữ ký của người sửa, ngày tháng năm sửa.
+ Không yêu cầu người yêu cầu chứng thực nộp, xuất trình bản chính
thức hoặc bản sao các giấy tờ, tài liệu mà các thông tin trong các giấy tờ, tài
liệu đã có dữ liệu trong các cơ sở dữ liệu được cơ quan chủ quản cơ sở dữ liệu
công bố.
+ Người thực hiện chứng thực khai thác, sử dụng thông tin đã có trong
các cơ sở dữ liệu để thay thế thành phần hồ sơ giải quyết thủ tục hành chính.25
Trường hợp không khai thác được thông tin hoặc thông tin khai thác được
không đầy đủ, không chính xác thì cơ quan, người có thẩm quyền tiếp nhận, giải
quyết thủ tục hành chính yêu cầu cá nhân, tổ chức bổ sung thành phần hồ sơ để
giải quyết thủ tục hành chính; đồng thời đề nghị cá nhân, tổ chức thực hiện cập
nhật, điều chỉnh thông tin trong các cơ sở dữ liệu theo quy định của pháp luật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Thời hạn thực hiện yêu cầu chứng thực là ngay trong ngày cơ quan, tổ chức tiếp nhận yêu cầu hoặc trong ngày làm việc tiếp theo, nếu tiếp nhận yêu cầu sau 15 giờ. Trường hợp trả kết quả trong ngày làm việc tiếp theo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Phí : 25.000 Đồng</w:t>
              <w:br/>
              <w:t>File đính kèm: VanBanGoc_226-2016-TT-BTC.pdf</w:t>
            </w:r>
          </w:p>
        </w:tc>
        <w:tc>
          <w:p/>
          <w:p>
            <w:pPr>
              <w:spacing w:after="0" w:before="0" w:lineRule="auto" w:line="276"/>
              <w:jc w:val="left"/>
            </w:pPr>
            <w:r>
              <w:rPr>
                <w:rFonts w:ascii="Times New Roman" w:hAnsi="Times New Roman" w:cs="Times New Roman" w:eastAsia="Times New Roman"/>
                <w:b w:val="false"/>
                <w:sz w:val="26"/>
              </w:rPr>
              <w:t>Nộp trực tiếp hoặc qua dịch vụ bưu chính hoặc trực tuyến trên môi trường điện tử, kết quả được trả trực tiếp hoặc qua dịch vụ bưu chính
công ích (đã đủ điều kiện thực hiện dịch vụ công trực tuyến toàn trình).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Thời hạn thực hiện yêu cầu chứng thực là ngay trong ngày cơ quan, tổ chức tiếp nhận yêu cầu hoặc trong ngày làm việc tiếp theo, nếu tiếp nhận yêu cầu sau 15 giờ. Trường hợp trả kết quả trong ngày làm việc tiếp theo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Phí : 25.000 Đồng</w:t>
              <w:br/>
              <w:t>File đính kèm: VanBanGoc_226-2016-TT-BTC.pdf</w:t>
            </w:r>
          </w:p>
        </w:tc>
        <w:tc>
          <w:p/>
          <w:p>
            <w:pPr>
              <w:spacing w:after="0" w:before="0" w:lineRule="auto" w:line="276"/>
              <w:jc w:val="left"/>
            </w:pPr>
            <w:r>
              <w:rPr>
                <w:rFonts w:ascii="Times New Roman" w:hAnsi="Times New Roman" w:cs="Times New Roman" w:eastAsia="Times New Roman"/>
                <w:b w:val="false"/>
                <w:sz w:val="26"/>
              </w:rPr>
              <w:t>Nộp trực tiếp hoặc qua dịch vụ bưu chính hoặc trực tuyến trên môi trường điện tử, kết quả được trả trực tiếp hoặc qua dịch vụ bưu chính
công ích (đã đủ điều kiện thực hiện dịch vụ công trực tuyến toàn trình).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Thời hạn thực hiện yêu cầu chứng thực là ngay trong ngày cơ quan, tổ chức tiếp nhận yêu cầu hoặc trong ngày làm việc tiếp theo, nếu tiếp nhận yêu cầu sau 15 giờ. Trường hợp trả kết quả trong ngày làm việc tiếp theo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Phí : 25.000 Đồng</w:t>
              <w:br/>
              <w:t>File đính kèm: VanBanGoc_226-2016-TT-BTC.pdf</w:t>
            </w:r>
          </w:p>
        </w:tc>
        <w:tc>
          <w:p/>
          <w:p>
            <w:pPr>
              <w:spacing w:after="0" w:before="0" w:lineRule="auto" w:line="276"/>
              <w:jc w:val="left"/>
            </w:pPr>
            <w:r>
              <w:rPr>
                <w:rFonts w:ascii="Times New Roman" w:hAnsi="Times New Roman" w:cs="Times New Roman" w:eastAsia="Times New Roman"/>
                <w:b w:val="false"/>
                <w:sz w:val="26"/>
              </w:rPr>
              <w:t>Nộp trực tiếp hoặc qua dịch vụ bưu chính hoặc trực tuyến trên môi trường điện tử, kết quả được trả trực tiếp hoặc qua dịch vụ bưu chính
công ích (đã đủ điều kiện thực hiện dịch vụ công trực tuyến toàn trình).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Người yêu cầu chứng thực nộp 01 (một) bộ hồ sơ yêu cầu chứng thực, gồm các giấy tờ sau đây:</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Giao dịch đã  được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thỏa thuận về việc sửa lỗi sai sót trong giao dịch đã được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cấp xã thuộc UBND cấp xã tỉnh Thanh Hóa; - Nộp trực tuyến (toàn trình) qua Cổng Dịch vụ công Quốc gia tại địa chỉ https://dichvucong.gov.vn - Bộ phận tiếp nhận và trả kết quả của Sở Tư pháp tại Trung tâm hành chính công tỉnh Thanh Hóa (số 28 Đại lộ Lê Lợi, phường Hạc Thành, tỉnh Thanh Hóa) (Thực hiện tiếp nhận hồ sơ, trả kết quả không phụ thuộc vào địa giới hành chính tại Trung tâm Phục vụ hành chính công các cấp)</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Giao dịch được sửa lỗi sai sót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226/2016/TT-BTC</w:t>
            </w:r>
          </w:p>
        </w:tc>
        <w:tc>
          <w:p/>
          <w:p>
            <w:pPr>
              <w:spacing w:after="0" w:before="0" w:lineRule="auto" w:line="276"/>
              <w:jc w:val="left"/>
            </w:pPr>
            <w:r>
              <w:rPr>
                <w:rFonts w:ascii="Times New Roman" w:hAnsi="Times New Roman" w:cs="Times New Roman" w:eastAsia="Times New Roman"/>
                <w:b w:val="false"/>
                <w:sz w:val="26"/>
              </w:rPr>
              <w:t>Thông tư 	226/2016/TT-BTC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01/2020/TT-BTP</w:t>
            </w:r>
          </w:p>
        </w:tc>
        <w:tc>
          <w:p/>
          <w:p>
            <w:pPr>
              <w:spacing w:after="0" w:before="0" w:lineRule="auto" w:line="276"/>
              <w:jc w:val="left"/>
            </w:pPr>
            <w:r>
              <w:rPr>
                <w:rFonts w:ascii="Times New Roman" w:hAnsi="Times New Roman" w:cs="Times New Roman" w:eastAsia="Times New Roman"/>
                <w:b w:val="false"/>
                <w:sz w:val="26"/>
              </w:rPr>
              <w:t>Thông tư 01/2020/TT-BTP</w:t>
            </w:r>
          </w:p>
        </w:tc>
        <w:tc>
          <w:p/>
          <w:p>
            <w:pPr>
              <w:spacing w:after="0" w:before="0" w:lineRule="auto" w:line="276"/>
              <w:jc w:val="left"/>
            </w:pPr>
            <w:r>
              <w:rPr>
                <w:rFonts w:ascii="Times New Roman" w:hAnsi="Times New Roman" w:cs="Times New Roman" w:eastAsia="Times New Roman"/>
                <w:b w:val="false"/>
                <w:sz w:val="26"/>
              </w:rPr>
              <w:t>03-03-2020</w:t>
            </w:r>
          </w:p>
        </w:tc>
        <w:tc>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Nghị định số 18/2026/NĐ-CP ngày 14/01/2026 của Chính phủ 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2026-05-20T07:59:55Z</dcterms:created>
  <dc:creator>Apache POI</dc:creator>
</cp:coreProperties>
</file>