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3555/QĐ-UBND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
+ Người thực hiện chứng thực (hoặc người tiếp nhận hồ sơ trong trường hợp tiếp nhận hồ sơ tại bộ phận một cửa, một cửa liên thông)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thực hiện chứng thực như sau:
* Khi thực hiện chứng thực, người thực hiện chứng thực phải đối chiếu chữ ký của người dịch trên bản dịch với chữ ký mẫu trước khi thực hiện chứng thực; trường hợp nghi ngờ chữ ký trên bản dịch số với chữ ký mẫu thì yêu cầu người dịch ký trước mặt.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w:t>
              <w:t xml:space="preserve"> (10.000đ/trường hợp)</w:t>
            </w:r>
          </w:p>
        </w:tc>
        <w:tc>
          <w:p/>
          <w:p>
            <w:pPr>
              <w:spacing w:after="0" w:before="0" w:lineRule="auto" w:line="276"/>
              <w:jc w:val="left"/>
            </w:pPr>
            <w:r>
              <w:rPr>
                <w:rFonts w:ascii="Times New Roman" w:hAnsi="Times New Roman" w:cs="Times New Roman" w:eastAsia="Times New Roman"/>
                <w:b w:val="false"/>
                <w:sz w:val="26"/>
              </w:rPr>
              <w:t>Nộp hồ sơ trực tiếp tại Phòng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dịch và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Uỷ ban nhân dân cấp xã, tỉnh Thanh Hóa. -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2026-05-26T07:46:45Z</dcterms:created>
  <dc:creator>Apache POI</dc:creator>
</cp:coreProperties>
</file>