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văn bản khai nhận di sản tự nguyện, minh mẫn và nhận thức, làm chủ được hành vi của mình thì tiếp nhận hồ sơ, thực hiện chứng thực.
+ Người khai nhận di sản phải ký trước mặt người thực hiện chứng thực, nếu văn bản khai nhận di sản có từ 02 (hai) trang trở lên thì phải ký vào từng trang. Trường hợp người yêu cầu chứng thực nộp hồ sơ tại bộ phận một cửa, một cửa liên thông thì người khai nhận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khai nhận di sản và ký vào dưới lời chứng theo mẫu quy định.
Người thực hiện chưng thực ký vào từng trang của văn bản khai nhận di sản (nếu hồ sơ không được tiếp nhận qua bộ phận một cửa, một chửa liên thông),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khai nhận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thỏa thuận nội dung lời chứng cho người yêu cầu chứng thực và ký vào từng trang văn bản khai nhận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(50.000đồng/văn bản)</w:t>
            </w:r>
          </w:p>
        </w:tc>
        <w:tc>
          <w:p/>
          <w:p>
            <w:pPr>
              <w:spacing w:after="0" w:before="0" w:lineRule="auto" w:line="276"/>
              <w:jc w:val="left"/>
            </w:pPr>
            <w:r>
              <w:rPr>
                <w:rFonts w:ascii="Times New Roman" w:hAnsi="Times New Roman" w:cs="Times New Roman" w:eastAsia="Times New Roman"/>
                <w:b w:val="false"/>
                <w:sz w:val="26"/>
              </w:rPr>
              <w:t>Thời hạn giải quyết:  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hồ sơ và trả kết quả của Văn phòng Hội đồng nhân dân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2026-05-01T01:21:40Z</dcterms:created>
  <dc:creator>Apache POI</dc:creator>
</cp:coreProperties>
</file>