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trạm, điểm sơ cấp cứu chữ thập đỏ khi thay đổi địa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Trạm, điểm sơ cấp cứu chữ thập đỏ gửi hồ sơ đề nghị cấp lại Giấy phép hoạt động đến phòng y tế;</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được hồ sơ hợp lệ, phòng y tế phải thành lập tổ thẩm định để tổ chức thẩm định và có biên bản thẩm định theo mẫu quy định tại Phụ lục số 3 ban hành kèm theo Thông tư số 17/2014/TT-BYT ngày 02/6/2014;</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của phòng y tế, Giám đốc Sở Y tế phải cấp lại giấy phép hoạt động cho trạm, điểm sơ cấp cứu chữ thập đỏ theo mẫu quy định tại Phụ lục số 4 ban hành kèm theo Thông tư này, trường hợp không đủ điều kiện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Giấy phép hoạt động đối với trạm, điểm sơ cấp cứu chữ thập đỏ theo Phụ lục số 2b ban hành kèm theo Thông tư số 17/2014/TT-BYT; b. Báo cáo bằng văn bản của trạm, điểm sơ cấp cứu về việc thay đổi địa điểm (Kèm theo Hợp đồng thuê địa điểm hoặc cam kết đồng ý cho mượn của chủ địa điểm hoặc người quản lý nơi đặt trạm, điểm sơ cấp cứu chữ thập đỏ);</w:t>
            </w:r>
          </w:p>
        </w:tc>
        <w:tc>
          <w:p/>
          <w:p>
            <w:pPr>
              <w:spacing w:after="0" w:before="0" w:lineRule="auto" w:line="276"/>
              <w:jc w:val="left"/>
            </w:pPr>
            <w:r>
              <w:rPr>
                <w:rFonts w:ascii="Times New Roman" w:hAnsi="Times New Roman" w:cs="Times New Roman" w:eastAsia="Times New Roman"/>
                <w:b w:val="false"/>
                <w:sz w:val="26"/>
              </w:rPr>
              <w:t>pl 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Y tế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17/2014/TT-BYT</w:t>
            </w:r>
          </w:p>
        </w:tc>
        <w:tc>
          <w:p/>
          <w:p>
            <w:pPr>
              <w:spacing w:after="0" w:before="0" w:lineRule="auto" w:line="276"/>
              <w:jc w:val="left"/>
            </w:pPr>
            <w:r>
              <w:rPr>
                <w:rFonts w:ascii="Times New Roman" w:hAnsi="Times New Roman" w:cs="Times New Roman" w:eastAsia="Times New Roman"/>
                <w:b w:val="false"/>
                <w:sz w:val="26"/>
              </w:rPr>
              <w:t>Thông tư 17/2014/TT-BYT-Quy định việc cấp giấy phép hoạt động đối với trạm, điểm sơ cấp cứu chữ thập đỏ và việc huấn luyện sơ cấp cứu chữ thập đỏ</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2026-05-22T15:55:42Z</dcterms:created>
  <dc:creator>Apache POI</dc:creator>
</cp:coreProperties>
</file>