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đăng ký hoạt động của Văn phòng giám định tư pháp trong trường hợp thay đổi tên gọi, địa chỉ trụ sở, người đại diện theo pháp luật, danh sách thành viên hợp danh của Văn phòng giám định tư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thay đổi tên gọi, địa chỉ trụ sở, người đại diện theo pháp luật của Văn phòng, danh sách thành viên hợp danh, Văn phòng giám định tư pháp được cấp lại Giấy đăng ký hoạt động.
Trong thời hạn 05 ngày làm việc, kể từ ngày thay đổi tên gọi, địa chỉ trụ sở, người đại diện theo pháp luật của Văn phòng, danh sách thành viên hợp danh, Văn phòng giám định tư pháp phải gửi trực tiếp hoặc qua dịch vụ bưu chính đến Trung tâm phục vụ hành chính công tỉnh, thành phố nơi đã đăng ký hoạt động hoặc trực tuyến trên Cổng Dịch vụ công quốc gia văn bản đề nghị cấp lại Giấy đăng ký hoạt động kèm theo Giấy đăng ký hoạt động cũ.
Trong thời hạn 03 ngày làm việc, kể từ nhận được hồ sơ hợp lệ, Sở Tư pháp có trách nhiệm xem xét, cấp lại Giấy đăng ký hoạt động cho Văn phòng giám định tư pháp. Trường hợp không cấp lại Giấy đăng ký hoạt động thì phải thông báo bằng văn bản và nêu rõ lý do. Văn phòng giám định tư pháp bị từ chối cấp lại Giấy đăng ký hoạt động có quyền khiếu nại, khởi kiện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hoạt động cũ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đăng ký hoạt động của Văn phòng giám định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157/2020/NĐ-CP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w:t>
            </w:r>
          </w:p>
        </w:tc>
        <w:tc>
          <w:p/>
          <w:p>
            <w:pPr>
              <w:spacing w:after="0" w:before="0" w:lineRule="auto" w:line="276"/>
              <w:jc w:val="left"/>
            </w:pPr>
            <w:r>
              <w:rPr>
                <w:rFonts w:ascii="Times New Roman" w:hAnsi="Times New Roman" w:cs="Times New Roman" w:eastAsia="Times New Roman"/>
                <w:b w:val="false"/>
                <w:sz w:val="26"/>
              </w:rPr>
              <w:t>29-07-2013</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2026-05-09T13:52:56Z</dcterms:created>
  <dc:creator>Apache POI</dc:creator>
</cp:coreProperties>
</file>