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524/QĐ-BTP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Văn phòng giám định tư pháp trường hợp Văn phòng giám định tư pháp chấm dứt hoạt động do bị thu hồi Giấy đăng ký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Văn phòng giám định tư pháp chấm dứt hoạt động do bị thu hồi Giấy đăng ký hoạt động thì trong thời hạn 7 ngày làm việc, kể từ ngày thu hồi Giấy đăng ký hoạt động, Sở Tư pháp có trách nhiệm thông báo bằng văn bản với Cơ quan thuế, Cơ quan thống kê, Cơ quan công an cấp tỉnh; Ủy ban nhân dân cấp huyện và Ủy ban nhân dân cấp xã nơi Văn phòng giám định tư pháp đặt trụ sở</w:t>
      </w:r>
    </w:p>
    <w:p>
      <w:pPr>
        <w:spacing w:after="0" w:before="0" w:lineRule="auto" w:line="276"/>
        <w:jc w:val="both"/>
      </w:pPr>
      <w:r>
        <w:rPr>
          <w:rFonts w:ascii="Times New Roman" w:hAnsi="Times New Roman" w:cs="Times New Roman" w:eastAsia="Times New Roman"/>
          <w:b w:val="false"/>
          <w:sz w:val="26"/>
        </w:rPr>
        <w:t>Văn phòng giám định tư pháp có nghĩa vụ thanh toán các khoản nợ, làm thủ tục chấm dứt hợp đồng lao động đã ký với người lao động và đăng báo Trung ương hoặc báo địa phương trong hai số liên tiếp về việc chấm dứt hoạt động; chuyển hồ sơ lưu trữ về việc thực hiện giám định tư pháp cho Sở Tư pháp, nơi đăng ký hoạt động</w:t>
      </w:r>
    </w:p>
    <w:p>
      <w:pPr>
        <w:spacing w:after="0" w:before="0" w:lineRule="auto" w:line="276"/>
        <w:jc w:val="both"/>
      </w:pPr>
      <w:r>
        <w:rPr>
          <w:rFonts w:ascii="Times New Roman" w:hAnsi="Times New Roman" w:cs="Times New Roman" w:eastAsia="Times New Roman"/>
          <w:b w:val="false"/>
          <w:sz w:val="26"/>
        </w:rPr>
        <w:t>Đối với yêu cầu giám định đã tiếp nhận mà chưa thực hiện thì Văn phòng giám định tư pháp phải trả lại hồ sơ, đối tượng giám định và khoản chi phí giám định đã thu của người trưng cầu, yêu cầu giám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phòng giám định tư pháp bị chấm dứt hoạt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 -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2026-05-16T06:20:26Z</dcterms:created>
  <dc:creator>Apache POI</dc:creator>
</cp:coreProperties>
</file>