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1.000672.000.00.00.H36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715/QĐ-UBND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lại bến xe khách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Đơn vị kinh doanh dịch vụ bến xe khách nộp hồ sơ đề nghị đến Sở Giao thông vận tải địa phương nơi có bến xe trong các trường hợp:
- Sau khi cải tạo cơ sở vật chất dẫn đến thay đổi các tiêu chí phân loại bến xe khách;
- Thay đổi đơn vị kinh doanh dịch vụ bến xe khách.
b) Giải quyết TTHC:
- Trong thời hạn 05 ngày làm việc, kể từ ngày nhận đủ hồ sơ đúng quy định, Sở Giao thông vận tải tổ chức kiểm tra các tiêu chí phân loại bến xe và lập biên bản kiểm tra;
- Trường hợp sau khi kiểm tra, nếu bến xe không đáp ứng đúng các tiêu chí thì phải ghi rõ các nội dung không đạt trong biên bản kiểm tra và trong thời hạn 02 ngày làm việc kể từ ngày kết thúc kiểm tra phải thông báo cho đơn vị kinh doanh dịch vụ bến xe; nếu bến xe đáp ứng đúng các quy định kỹ thuật của loại bến xe mà đơn vị kinh doanh dịch vụ bến xe đề nghị thì trong thời hạn 03 ngày làm việc kể từ ngày kết thúc kiểm tra, Sở Giao thông vận tải quyết định công bố đưa bến xe vào khai thác.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trong thời hạn 05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trong thời hạn 05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kiểm tra: trong thời hạn 05 ngày làm việc, kể từ ngày nhận đủ hồ sơ đúng quy định.
- Thời hạn công bố:
+ Trường hợp quyết định công bố: trong thời hạn 03 ngày làm việc kể từ ngày kết thúc kiểm tra.
+ Trường hợp thông báo cho đơn vị kinh doanh dịch vụ bến xe khách: trong thời hạn 02 ngày làm việc kể từ ngày kết thúc kiểm tra.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công bố lại bến xe theo mẫu</w:t>
            </w:r>
          </w:p>
        </w:tc>
        <w:tc>
          <w:p/>
          <w:p>
            <w:pPr>
              <w:spacing w:after="0" w:before="0" w:lineRule="auto" w:line="276"/>
              <w:jc w:val="left"/>
            </w:pPr>
            <w:r>
              <w:rPr>
                <w:rFonts w:ascii="Times New Roman" w:hAnsi="Times New Roman" w:cs="Times New Roman" w:eastAsia="Times New Roman"/>
                <w:b w:val="false"/>
                <w:sz w:val="26"/>
              </w:rPr>
              <w:t>Don_TT1.000672.docx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vẽ bố trí mặt bằng tổng thể các công trình xây dựng, cải tạo bến xe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nghiệm thu các công trình xây dựng, cải tạo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đối chiếu các quy định kỹ thuật của quy chuẩn này với các công trình của bến xe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hoặc tài liệu chứng minh về thay đổi đơn vị kinh doanh dịch vụ bến xe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cho phép đầu tư xây dựng, cải tạo của cơ quan có thẩm quyền (nếu có thay đổi so với lần công bố trước)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  hoặc nộp trực tuyến tại địa chỉ dichvucong.lamdong.gov.vn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công bố đưa bến xe khách vào khai thác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36/2024/TT-BGTVT</w:t>
            </w:r>
          </w:p>
        </w:tc>
        <w:tc>
          <w:p/>
          <w:p>
            <w:pPr>
              <w:spacing w:after="0" w:before="0" w:lineRule="auto" w:line="276"/>
              <w:jc w:val="left"/>
            </w:pPr>
            <w:r>
              <w:rPr>
                <w:rFonts w:ascii="Times New Roman" w:hAnsi="Times New Roman" w:cs="Times New Roman" w:eastAsia="Times New Roman"/>
                <w:b w:val="false"/>
                <w:sz w:val="26"/>
              </w:rPr>
              <w:t>Quy định về tổ chức, quản lý hoạt động vận tải bằng xe ô tô và hoạt động của bến xe, bãi đỗ xe, trạm dừng nghỉ, điểm dừng xe trên đường bộ; quy định trình tự, thủ tục đưa bến xe, trạm dừng nghỉ vào khai thác</w:t>
            </w:r>
          </w:p>
        </w:tc>
        <w:tc>
          <w:p/>
          <w:p>
            <w:pPr>
              <w:spacing w:after="0" w:before="0" w:lineRule="auto" w:line="276"/>
              <w:jc w:val="left"/>
            </w:pPr>
            <w:r>
              <w:rPr>
                <w:rFonts w:ascii="Times New Roman" w:hAnsi="Times New Roman" w:cs="Times New Roman" w:eastAsia="Times New Roman"/>
                <w:b w:val="false"/>
                <w:sz w:val="26"/>
              </w:rPr>
              <w:t>15-11-2024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Bến xe khách đưa vào khai thác phải đáp ứng yêu cầu theo Quy chuẩn kỹ thuật quốc gia về bến xe khách.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2026-05-10T15:44:32Z</dcterms:created>
  <dc:creator>Apache POI</dc:creator>
</cp:coreProperties>
</file>