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1.003625.000.00.00.H56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3196/QĐ-UBND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biện pháp bảo đảm bằng quyền sử dụng đất, tài sản gắn liền với đất đã đăng ký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biện pháp bảo đảm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đến một trong các cơ quan, đơn vị sau đây:
- Tại Văn phòng đăng ký đất đai (số 14 đường Hạc Thành, phường Tân Sơn, thành phố Thanh Hóa, tỉnh Thanh Hóa) 
-  Chi nhánh  Văn phòng đăng ký đất đai tại Bộ phận tiếp nhận hồ sơ và trả kết quả của Văn phòng HĐND và UBND cấp huyện. 
- Ủy ban nhân dân cấp xã nơi có đất trong trường hợp người yêu cầu đăng ký là hộ gia đình, cá nhân có nhu cầu nộp hồ sơ trực tiếp tại Ủy ban nhân dân cấp xã.</w:t>
      </w:r>
    </w:p>
    <w:p>
      <w:pPr>
        <w:spacing w:after="0" w:before="0" w:lineRule="auto" w:line="276"/>
        <w:jc w:val="both"/>
      </w:pPr>
      <w:r>
        <w:rPr>
          <w:rFonts w:ascii="Times New Roman" w:hAnsi="Times New Roman" w:cs="Times New Roman" w:eastAsia="Times New Roman"/>
          <w:b w:val="false"/>
          <w:sz w:val="26"/>
        </w:rPr>
        <w:t>b) Người tiếp nhận kiểm tra hồ sơ đăng ký, trường hợp hồ sơ không hợp lệ thì người tiếp nhận từ chối đăng ký và hướng dẫn hoàn thiện hồ sơ. Trường hợp hồ sơ hợp lệ thì Văn phòng đăng ký đất đai ghi nội dung đăng ký vào Sổ địa chính; Giấy chứng nhận; chứng nhận nội dung đăng ký vào phiếu yêu cầu đăng ký.</w:t>
      </w:r>
    </w:p>
    <w:p>
      <w:pPr>
        <w:spacing w:after="0" w:before="0" w:lineRule="auto" w:line="276"/>
        <w:jc w:val="both"/>
      </w:pPr>
      <w:r>
        <w:rPr>
          <w:rFonts w:ascii="Times New Roman" w:hAnsi="Times New Roman" w:cs="Times New Roman" w:eastAsia="Times New Roman"/>
          <w:b w:val="false"/>
          <w:sz w:val="26"/>
        </w:rPr>
        <w:t>c) Trả kết quả đăng ký tại Văn phòng đăng ký đất đai hoặc Bộ phận tiếp nhận và trả kết quả theo cơ chế một cửa hoặc Ủy ban nhân dân cấp xã trong trường hợp nộp hồ sơ tại Bộ phận tiếp nhận và trả kết quả theo cơ chế một cửa hoặc Ủy ban nhân dân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ngày </w:t>
            </w:r>
          </w:p>
        </w:tc>
        <w:tc>
          <w:p/>
          <w:p>
            <w:pPr>
              <w:spacing w:after="0" w:before="0" w:lineRule="auto" w:line="276"/>
              <w:jc w:val="left"/>
            </w:pPr>
            <w:r>
              <w:rPr>
                <w:rFonts w:ascii="Times New Roman" w:hAnsi="Times New Roman" w:cs="Times New Roman" w:eastAsia="Times New Roman"/>
                <w:b w:val="false"/>
                <w:sz w:val="26"/>
              </w:rPr>
              <w:t xml:space="preserve">Phí :  </w:t>
              <w:t xml:space="preserve"> (- Tổ chức, cá nhân khi thực hiện các thủ tục hành chính thông qua dịch vụ công trực tuyến mức độ 3, mức độ 4 được giảm 30% mức thu phí quy định từ khi Nghị quyết có hiệu lực thi hành đến hết ngày 31 tháng 12 năm 2023)</w:t>
            </w:r>
          </w:p>
          <w:p>
            <w:pPr>
              <w:spacing w:after="0" w:before="0" w:lineRule="auto" w:line="276"/>
              <w:jc w:val="left"/>
            </w:pPr>
            <w:r>
              <w:rPr>
                <w:rFonts w:ascii="Times New Roman" w:hAnsi="Times New Roman" w:cs="Times New Roman" w:eastAsia="Times New Roman"/>
                <w:b w:val="false"/>
                <w:sz w:val="26"/>
              </w:rPr>
              <w:t>Phí : 0 Đồng</w:t>
              <w:t xml:space="preserve"> (Các cá nhân, hộ gia đình khi đăng ký giao dịch bảo đảm theo quy định tại Nghị định số 55/2015/NĐCP ngày 09/6/2015 của Chính phủ về chính sách tín dụng phục vụ phát triển nông nghiệp, nông thôn)</w:t>
              <w:br/>
              <w:t>File đính kèm: nq289.doc</w:t>
            </w:r>
          </w:p>
          <w:p>
            <w:pPr>
              <w:spacing w:after="0" w:before="0" w:lineRule="auto" w:line="276"/>
              <w:jc w:val="left"/>
            </w:pPr>
            <w:r>
              <w:rPr>
                <w:rFonts w:ascii="Times New Roman" w:hAnsi="Times New Roman" w:cs="Times New Roman" w:eastAsia="Times New Roman"/>
                <w:b w:val="false"/>
                <w:sz w:val="26"/>
              </w:rPr>
              <w:t>Phí : 60.000 Đồng</w:t>
              <w:t xml:space="preserve"> (Đối với cá nhân)</w:t>
            </w:r>
          </w:p>
          <w:p>
            <w:pPr>
              <w:spacing w:after="0" w:before="0" w:lineRule="auto" w:line="276"/>
              <w:jc w:val="left"/>
            </w:pPr>
            <w:r>
              <w:rPr>
                <w:rFonts w:ascii="Times New Roman" w:hAnsi="Times New Roman" w:cs="Times New Roman" w:eastAsia="Times New Roman"/>
                <w:b w:val="false"/>
                <w:sz w:val="26"/>
              </w:rPr>
              <w:t>Phí : 80.000 Đồng</w:t>
              <w:t xml:space="preserve"> (Đối với tổ chức)</w:t>
            </w:r>
          </w:p>
        </w:tc>
        <w:tc>
          <w:p/>
          <w:p>
            <w:pPr>
              <w:spacing w:after="0" w:before="0" w:lineRule="auto" w:line="276"/>
              <w:jc w:val="left"/>
            </w:pPr>
            <w:r>
              <w:rPr>
                <w:rFonts w:ascii="Times New Roman" w:hAnsi="Times New Roman" w:cs="Times New Roman" w:eastAsia="Times New Roman"/>
                <w:b w:val="false"/>
                <w:sz w:val="26"/>
              </w:rPr>
              <w:t>Trong ngày nhận hồ sơ hợp lệ. Nếu nhận hồ sơ sau 15 giờ, thì hoàn thành việc đăng ký và trả kết quả ngay trong ngày làm việc tiếp theo. Trường hợp phải kéo dài thời gian giải quyết hồ sơ thì cũng không quá 03 ngày làm việc kể từ ngày nhận hồ sơ đăng ký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ngày </w:t>
            </w:r>
          </w:p>
        </w:tc>
        <w:tc>
          <w:p/>
          <w:p>
            <w:pPr>
              <w:spacing w:after="0" w:before="0" w:lineRule="auto" w:line="276"/>
              <w:jc w:val="left"/>
            </w:pPr>
            <w:r>
              <w:rPr>
                <w:rFonts w:ascii="Times New Roman" w:hAnsi="Times New Roman" w:cs="Times New Roman" w:eastAsia="Times New Roman"/>
                <w:b w:val="false"/>
                <w:sz w:val="26"/>
              </w:rPr>
              <w:t>Phí : 0 Đồng</w:t>
              <w:t xml:space="preserve"> (Các cá nhân, hộ gia đình khi đăng ký giao dịch bảo đảm theo quy định tại Nghị định số 55/2015/NĐCP ngày 09/6/2015 của Chính phủ về chính sách tín dụng phục vụ phát triển nông nghiệp, nông thôn)</w:t>
              <w:br/>
              <w:t>File đính kèm: nq289.doc</w:t>
            </w:r>
          </w:p>
          <w:p>
            <w:pPr>
              <w:spacing w:after="0" w:before="0" w:lineRule="auto" w:line="276"/>
              <w:jc w:val="left"/>
            </w:pPr>
            <w:r>
              <w:rPr>
                <w:rFonts w:ascii="Times New Roman" w:hAnsi="Times New Roman" w:cs="Times New Roman" w:eastAsia="Times New Roman"/>
                <w:b w:val="false"/>
                <w:sz w:val="26"/>
              </w:rPr>
              <w:t>Phí : 60.000 Đồng</w:t>
              <w:t xml:space="preserve"> (Đối với cá nhân)</w:t>
            </w:r>
          </w:p>
          <w:p>
            <w:pPr>
              <w:spacing w:after="0" w:before="0" w:lineRule="auto" w:line="276"/>
              <w:jc w:val="left"/>
            </w:pPr>
            <w:r>
              <w:rPr>
                <w:rFonts w:ascii="Times New Roman" w:hAnsi="Times New Roman" w:cs="Times New Roman" w:eastAsia="Times New Roman"/>
                <w:b w:val="false"/>
                <w:sz w:val="26"/>
              </w:rPr>
              <w:t>Phí : 80.000 Đồng</w:t>
              <w:t xml:space="preserve"> (Đối với tổ chức)</w:t>
            </w:r>
          </w:p>
          <w:p>
            <w:pPr>
              <w:spacing w:after="0" w:before="0" w:lineRule="auto" w:line="276"/>
              <w:jc w:val="left"/>
            </w:pPr>
            <w:r>
              <w:rPr>
                <w:rFonts w:ascii="Times New Roman" w:hAnsi="Times New Roman" w:cs="Times New Roman" w:eastAsia="Times New Roman"/>
                <w:b w:val="false"/>
                <w:sz w:val="26"/>
              </w:rPr>
              <w:t xml:space="preserve">Phí :  </w:t>
              <w:t xml:space="preserve"> (- Tổ chức, cá nhân khi thực hiện các thủ tục hành chính thông qua dịch vụ công trực tuyến mức độ 3, mức độ 4 được giảm 30% mức thu phí quy định từ khi Nghị quyết có hiệu lực thi hành đến hết ngày 31 tháng 12 năm 2023)</w:t>
            </w:r>
          </w:p>
        </w:tc>
        <w:tc>
          <w:p/>
          <w:p>
            <w:pPr>
              <w:spacing w:after="0" w:before="0" w:lineRule="auto" w:line="276"/>
              <w:jc w:val="left"/>
            </w:pPr>
            <w:r>
              <w:rPr>
                <w:rFonts w:ascii="Times New Roman" w:hAnsi="Times New Roman" w:cs="Times New Roman" w:eastAsia="Times New Roman"/>
                <w:b w:val="false"/>
                <w:sz w:val="26"/>
              </w:rPr>
              <w:t>Trong ngày nhận hồ sơ hợp lệ. Nếu nhận hồ sơ sau 15 giờ, thì hoàn thành việc đăng ký và trả kết quả ngay trong ngày làm việc tiếp theo. Trường hợp phải kéo dài thời gian giải quyết hồ sơ thì cũng không quá 03 ngày làm việc kể từ ngày nhận hồ sơ đăng ký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Trường hợp đã đăng ký biện pháp bảo đảm bằng quyền sử dụng đất, tài sản gắn liền với đất mà người sử dụng đất, chủ sở hữu tài sản gắn liền với đất được cơ quan nhà nước có thẩm quyền cho phép đổi tên khác với tên ghi trên Giấy chứng nhận đã cấp, thì việc thực hiện đăng ký thay đổi nội dung biện pháp bảo đảm đã đăng ký được thực hiện đồng thời với thủ tục chỉnh lý biến động đất đai (thay đổi tên người sử dụng đất, chủ sở hữu tài sản gắn liền với đất trên Giấy chứng nhận). Văn phòng đăng ký đất đai xác nhận thay đổi tên của bên bảo đảm trong trường hợp thế chấp quyền sử dụng đất, tài sản gắn liền với đất hoặc tên của bên nhận bảo đảm trong trường hợp mua bán tài sản có bảo lưu quyền sở hữu trên Giấy chứng nhận và hồ sơ địa chính trước khi thực hiện thủ tục đăng ký thay đổi nội dung biện pháp bảo đảm. Trong trường hợp này, người yêu cầu đăng ký không phải xóa đăng ký biện pháp bảo đảm bằng quyền sử dụng đất, tài sản gắn liền với đất trước khi thực hiện đăng ký thay đổi.</w:t>
            </w:r>
          </w:p>
        </w:tc>
        <w:tc>
          <w:p/>
          <w:p>
            <w:pPr>
              <w:spacing w:after="0" w:before="0" w:lineRule="auto" w:line="276"/>
              <w:jc w:val="left"/>
            </w:pPr>
            <w:r>
              <w:rPr>
                <w:rFonts w:ascii="Times New Roman" w:hAnsi="Times New Roman" w:cs="Times New Roman" w:eastAsia="Times New Roman"/>
                <w:b w:val="false"/>
                <w:sz w:val="26"/>
              </w:rPr>
              <w:t>4. TTHC 5- Mau02-ĐKTĐ-SCSS.doc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Hồ sơ đăng ký thay đổi nội dung biện pháp bảo đảm bằng quyền sử dụng đất hoặc quyền sử dụng đất đồng thời với tài sản gắn liền với đất hoặc tài sản gắn liền với đất đã đăng ký gồm: - Phiếu yêu cầu đăng ký thay đổi (01 bản chính); - Hợp đồng sửa đổi, bổ sung hợp đồng thế chấp (trừ trường hợp đăng ký thay đổi đối với tài sản bảo đảm là tài sản gắn liền với đất hình thành trong tương lai đã hình thành quy định tại khoản 4 Điều 18 của Nghị định số 102/2017/NĐ-CP) hoặc hợp đồng sửa đổi, bổ sung hợp đồng mua bán tài sản có điều khoản bảo lưu quyền sở hữu hoặc văn bản sửa đổi, bổ sung văn bản về bảo lưu quyền sở hữu trong trường hợp thay đổi nội dung biện pháp bảo đảm theo thỏa thuận của các bên (01 bản chính hoặc 01 bản sao có chứng thực) hoặc văn bản khác chứng minh nội dung thay đổi (01 bản chính hoặc 01 bản sao có chứng thực hoặc 01 bản sao không có chứng thực kèm bản chính để đối chiếu) trong trường hợp thay đổi nội dung biện pháp bảo đảm theo quyết định của cơ quan có thẩm quyền; - Bản chính Giấy chứng nhận đối với trường hợp đăng ký biện pháp bảo đảm mà trong hồ sơ đăng ký có Giấy chứng nhận; - Văn bản uỷ quyền trong trường hợp người yêu cầu đăng ký là người được ủy quyền (01 bản chính hoặc 01 bản sao có chứng thực hoặc 01 bản sao không có chứng thực kèm bản chính để đối chiếu). - Trường hợp đăng ký thay đổi nội dung biện pháp bảo đảm đã đăng ký mà trong hồ sơ đăng ký biện pháp bảo đảm trước đó đã có một trong các loại giấy tờ chứng minh thuộc đối tượng không phải nộp phí khi thực hiện đăng ký biện pháp bảo đảm dưới đây thì người yêu cầu đăng ký không phải nộp các loại giấy tờ đó: Hợp đồng bảo đảm hoặc hợp đồng tín dụng có điều khoản về việc cá nhân, hộ gia đình vay vốn sử dụng vào một trong các lĩnh vực phục vụ phát triển nông nghiệp, nông thôn (01 bản chính hoặc 01 bản sao có chứng thực); Văn bản xác nhận (có chữ ký và con dấu) của tổ chức tín dụng về việc cá nhân, hộ gia đình vay vốn sử dụng vào một trong các lĩnh vực phục vụ phát triển nông nghiệp, nông thôn (01 bản chính hoặc 01 bản sao có chứng thực). - Danh mục các hợp đồng đã đăng ký (01 bản chụp);</w:t>
            </w:r>
          </w:p>
        </w:tc>
        <w:tc>
          <w:p/>
          <w:p>
            <w:pPr>
              <w:spacing w:after="0" w:before="0" w:lineRule="auto" w:line="276"/>
              <w:jc w:val="left"/>
            </w:pPr>
            <w:r>
              <w:rPr>
                <w:rFonts w:ascii="Times New Roman" w:hAnsi="Times New Roman" w:cs="Times New Roman" w:eastAsia="Times New Roman"/>
                <w:b w:val="false"/>
                <w:sz w:val="26"/>
              </w:rPr>
              <w:t>4. TTHC 5- Mau02-ĐKTĐ-SCSS.doc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Tại Văn phòng đăng ký đất đai thuộc Sở Tài Nguyên và Môi trường (số 14 đường Hạc Thành, phường Tân Sơn, thành phố Thanh Hóa, tỉnh Thanh Hóa)  -  Chi nhánh  Văn phòng đăng ký đất đai tại Bộ phận tiếp nhận hồ sơ và trả kết quả của Văn phòng HĐND và UBND cấp huyện.  - Ủy ban nhân dân cấp xã nơi có đất trong trường hợp người yêu cầu đăng ký là hộ gia đình, cá nhân có nhu cầu nộp hồ sơ trực tiếp tại Ủy ban nhân dân cấp xã. (Khi chưa thành lập Văn phòng đăng ký đất đai, thì Văn phòng đăng ký quyền sử dụng đất tiếp tục thực hiện đăng ký biện pháp bảo đảm theo thẩm quyền cho đến khi thành lập Văn phòng đăng ký đất đai)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yêu cầu đăng ký thay đổi, sửa chữa sai sót (có chứng nhận của Văn phòng đăng ký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99/2015/NĐ-CP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Nhà ở</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Phí và lệ phí</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102/2017/NĐ-CP</w:t>
            </w:r>
          </w:p>
        </w:tc>
        <w:tc>
          <w:p/>
          <w:p>
            <w:pPr>
              <w:spacing w:after="0" w:before="0" w:lineRule="auto" w:line="276"/>
              <w:jc w:val="left"/>
            </w:pPr>
            <w:r>
              <w:rPr>
                <w:rFonts w:ascii="Times New Roman" w:hAnsi="Times New Roman" w:cs="Times New Roman" w:eastAsia="Times New Roman"/>
                <w:b w:val="false"/>
                <w:sz w:val="26"/>
              </w:rPr>
              <w:t>Về đăng ký biện pháp bảo đảm</w:t>
            </w:r>
          </w:p>
        </w:tc>
        <w:tc>
          <w:p/>
          <w:p>
            <w:pPr>
              <w:spacing w:after="0" w:before="0" w:lineRule="auto" w:line="276"/>
              <w:jc w:val="left"/>
            </w:pPr>
            <w:r>
              <w:rPr>
                <w:rFonts w:ascii="Times New Roman" w:hAnsi="Times New Roman" w:cs="Times New Roman" w:eastAsia="Times New Roman"/>
                <w:b w:val="false"/>
                <w:sz w:val="26"/>
              </w:rPr>
              <w:t>01-09-2017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07/2019/TT-BTP</w:t>
            </w:r>
          </w:p>
        </w:tc>
        <w:tc>
          <w:p/>
          <w:p>
            <w:pPr>
              <w:spacing w:after="0" w:before="0" w:lineRule="auto" w:line="276"/>
              <w:jc w:val="left"/>
            </w:pPr>
            <w:r>
              <w:rPr>
                <w:rFonts w:ascii="Times New Roman" w:hAnsi="Times New Roman" w:cs="Times New Roman" w:eastAsia="Times New Roman"/>
                <w:b w:val="false"/>
                <w:sz w:val="26"/>
              </w:rPr>
              <w:t>Thông tư 07/2019/TT-BTP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289/2022/NQ-HĐND</w:t>
            </w:r>
          </w:p>
        </w:tc>
        <w:tc>
          <w:p/>
          <w:p>
            <w:pPr>
              <w:spacing w:after="0" w:before="0" w:lineRule="auto" w:line="276"/>
              <w:jc w:val="left"/>
            </w:pPr>
            <w:r>
              <w:rPr>
                <w:rFonts w:ascii="Times New Roman" w:hAnsi="Times New Roman" w:cs="Times New Roman" w:eastAsia="Times New Roman"/>
                <w:b w:val="false"/>
                <w:sz w:val="26"/>
              </w:rPr>
              <w:t>Nghị quyết ban hành mức thu, miễn, giảm, thu, nộp quản lý và sử dụng các khoản phí, lệ phí thuộc Hội đồng nhân dân tỉnh</w:t>
            </w:r>
          </w:p>
        </w:tc>
        <w:tc>
          <w:p/>
          <w:p>
            <w:pPr>
              <w:spacing w:after="0" w:before="0" w:lineRule="auto" w:line="276"/>
              <w:jc w:val="left"/>
            </w:pPr>
            <w:r>
              <w:rPr>
                <w:rFonts w:ascii="Times New Roman" w:hAnsi="Times New Roman" w:cs="Times New Roman" w:eastAsia="Times New Roman"/>
                <w:b w:val="false"/>
                <w:sz w:val="26"/>
              </w:rPr>
              <w:t>13-07-2022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2026-04-29T08:15:38Z</dcterms:created>
  <dc:creator>Apache POI</dc:creator>
</cp:coreProperties>
</file>