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1.001455.000.00.00.H53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1503/QĐ-UBND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cơ sở kinh doanh dịch vụ chăm sóc sức khỏe đạt tiêu chuẩn phục vụ khách du lịch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Du lịch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Người có yêu cầu nộp hồ sơ bằng hình thức trực tiếp hoặc qua dịch vụ bưu chính công ích đến Trung tâm Phục vụ hành chính công tỉnh Tây Ninh (cơ sở 1 tại địa chỉ: Tầng 2, Khối nhà cơ quan 4, Khu trung tâm chính trị hành chính tỉnh, số 2, đường Song Hành, phường Long An, tỉnh Tây Ninh; cơ sở 2 tại địa chỉ: Số 83, đường Phạm Tung, phường Tân Ninh, tỉnh Tây Ninh) hoặc Trung tâm Phục vụ Hành chính công cấp xã bất kỳ trên địa bàn tỉnh Tây Ninh; hoặc nộp trực tuyến qua hệ thống dịch vụ công trực tuyến Cổng dịch vụ công quốc gia https://dichvucong.gov.vn/p/home/dvc-dich-vu-cong-truc-tuyen.html.
- Công chức tiếp nhận hồ sơ kiểm tra tính đầy đủ, hợp lệ của hồ sơ:
+ Nếu hồ sơ đầy đủ, hợp lệ thì công chức tiếp nhận lập biên nhận hồ sơ, hẹn ngày trả kết quả cho người nộp hồ sơ.
+ Nếu hồ sơ chưa đầy đủ, hợp lệ thì không tiếp nhận và hướng dẫn cho người nộp chuẩn bị hồ sơ theo quy định.
- Chuyển hồ sơ đến Phòng Quản lý Du lịch thuộc Sở Văn hóa, Thể thao và Du lịch để giải quyết.
 Bước 2. Thẩm định hồ sơ 
- Trường hợp nhận hồ sơ chưa đầy đủ, chưa hợp lệ, Sở Văn hóa, Thể thao và Du lịch phải có văn bản thông báo và hướng dẫn, chuyển đến Trung tâm Phục vụ hành chính công đã tiếp nhận hồ sơ để gửi cho người nộp hồ sơ bổ sung, hoàn chỉnh hồ sơ theo quy định.
- Trường hợp hồ sơ đầy đủ, hợp lệ, Phòng Quản lý du lịch có trách nhiệm thẩm định hồ sơ; dự thảo Quyết định công nhận trình Lãnh đạo Sở Văn hóa, Thể thao và Du lịch ký. trường hợp không công nhận, phải trả lời bằng văn bản và nêu rõ lý do
Bước 3. Ký Quyết định công nhận  
Lãnh đạo Sở Văn hóa, Thể thao và Du lịch xem xét, ký Quyết định công nhận, chuyển Văn thư Sở số hóa kết quả giải quyết TTHC và chuyển đến Trung tâm Phục vụ hành chính công đã tiếp nhận hồ sơ.
Bước 4. Trả kết quả 
- Trung tâm Phục vụ hành chính công nơi người nộp hồ sơ đăng ký nhận kết quả thông báo tổ chức, cá nhân để nhận kết quả và thực hiện các nghĩa vụ có liên quan (nếu có).
- Trường hợp người nộp hồ sơ muốn nhận kết quả ở Trung tâm Phục vụ hành chính công cấp xã thì đăng ký khi nộp hồ sơ.
- Thời gian tiếp nhận hồ sơ và trả kết quả: Từ thứ Hai đến thứ Sáu hàng tuần (trừ ngày nghỉ theo quy định)
+ Sáng: Từ 7 giờ 00 phút đến 11 giờ 30 phút.
+ Chiều: Từ 13 giờ 30 phút đến 17 giờ 00 phút.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1000000 Đồng</w:t>
              <w:t xml:space="preserve"> (Thông tư số 153/2025/TT-BTC ngày 31 tháng 12  năm 2025 của Bộ trưởng Bộ Tài chính. Có hiệu lực từ 01 tháng 01 năm 2026)</w:t>
            </w:r>
          </w:p>
        </w:tc>
        <w:tc>
          <w:p/>
          <w:p>
            <w:pPr>
              <w:spacing w:after="0" w:before="0" w:lineRule="auto" w:line="276"/>
              <w:jc w:val="left"/>
            </w:pPr>
            <w:r>
              <w:rPr>
                <w:rFonts w:ascii="Times New Roman" w:hAnsi="Times New Roman" w:cs="Times New Roman" w:eastAsia="Times New Roman"/>
                <w:b w:val="false"/>
                <w:sz w:val="26"/>
              </w:rPr>
              <w:t>- Nộp hồ sơ trực tiếp và nộp phí/lệ phí tại Trung tâm Phục vụ hành chính công tỉnh hoặc Trung tâm Phục vụ hành chính công cấp xã bất kỳ trên địa bàn tỉnh Tây Ninh.
- Thời hạn giải quyết: 20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1000000 Đồng</w:t>
              <w:t xml:space="preserve"> (Thông tư số 153/2025/TT-BTC ngày 31 tháng 12  năm 2025 của Bộ trưởng Bộ Tài chính. Có hiệu lực từ 01 tháng 01 năm 2026)</w:t>
            </w:r>
          </w:p>
        </w:tc>
        <w:tc>
          <w:p/>
          <w:p>
            <w:pPr>
              <w:spacing w:after="0" w:before="0" w:lineRule="auto" w:line="276"/>
              <w:jc w:val="left"/>
            </w:pPr>
            <w:r>
              <w:rPr>
                <w:rFonts w:ascii="Times New Roman" w:hAnsi="Times New Roman" w:cs="Times New Roman" w:eastAsia="Times New Roman"/>
                <w:b w:val="false"/>
                <w:sz w:val="26"/>
              </w:rPr>
              <w:t>- Nộp hồ sơ bằng hình thức trực tuyến tại Cổng dịch vụ công Quốc gia, địa chỉ: https://dichvucong.gov.vn/p/home/dvc-dich-vu-cong-truc-tuyen.html và thanh toán trực tuyến trên Cổng dịch vụ công Quốc gia.
- Thời hạn giải quyết: 20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1000000 Đồng</w:t>
              <w:t xml:space="preserve"> (Thông tư số 153/2025/TT-BTC ngày 31 tháng 12  năm 2025 của Bộ trưởng Bộ Tài chính. Có hiệu lực từ 01 tháng 01 năm 2026)</w:t>
            </w:r>
          </w:p>
        </w:tc>
        <w:tc>
          <w:p/>
          <w:p>
            <w:pPr>
              <w:spacing w:after="0" w:before="0" w:lineRule="auto" w:line="276"/>
              <w:jc w:val="left"/>
            </w:pPr>
            <w:r>
              <w:rPr>
                <w:rFonts w:ascii="Times New Roman" w:hAnsi="Times New Roman" w:cs="Times New Roman" w:eastAsia="Times New Roman"/>
                <w:b w:val="false"/>
                <w:sz w:val="26"/>
              </w:rPr>
              <w:t>- Nộp tại các điểm bưu chính thuộc Hệ thống bưu điện tỉnh Tây Ninh (bao gồm bưu điện: tỉnh, xã) hoặc liên hệ qua số điện thoại 1900.561563 để được nhân viên tại các điểm bưu chính thuộc hệ thống Bưu điện tỉnh gần nhất trực tiếp đến tiếp nhận hồ sơ tại nơi mà tổ chức, cá nhân có yêu cầu.
 - Thời hạn giải quyết: 20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công nhận cơ sở  đạt tiêu chuẩn phục vụ khách du lịch  (Mẫu số 10 Phụ lục II ban hành kèm theo Thông tư số 06/2017/TT-BVHTTDL ngày 15 tháng 12 năm 2017 được sửa đổi tại điểm b khoản 1 điều 2 Thông tư số 04/2024/TT-BVHTTDL ngày 26/6/2024)</w:t>
            </w:r>
          </w:p>
        </w:tc>
        <w:tc>
          <w:p/>
          <w:p>
            <w:pPr>
              <w:spacing w:after="0" w:before="0" w:lineRule="auto" w:line="276"/>
              <w:jc w:val="left"/>
            </w:pPr>
            <w:r>
              <w:rPr>
                <w:rFonts w:ascii="Times New Roman" w:hAnsi="Times New Roman" w:cs="Times New Roman" w:eastAsia="Times New Roman"/>
                <w:b w:val="false"/>
                <w:sz w:val="26"/>
              </w:rPr>
              <w:t>Don de nghi.docx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thuyết minh đáp ứng các tiêu chuẩn phục vụ khách du lịch.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tỉnh Tây Ninh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Văn hóa, Thể thao và Du lịch tỉnh Tây Ninh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hoặc Trung tâm Phục vụ hành chính công cấp xã bất kỳ trên địa bàn tỉnh Tây Ninh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cơ sở kinh doanh dịch vụ chăm sóc sức khỏe đạt tiêu chuẩn phục vụ khách du lịch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09/2017/QH1409/2017/QH14 </w:t>
            </w:r>
          </w:p>
        </w:tc>
        <w:tc>
          <w:p/>
          <w:p>
            <w:pPr>
              <w:spacing w:after="0" w:before="0" w:lineRule="auto" w:line="276"/>
              <w:jc w:val="left"/>
            </w:pPr>
            <w:r>
              <w:rPr>
                <w:rFonts w:ascii="Times New Roman" w:hAnsi="Times New Roman" w:cs="Times New Roman" w:eastAsia="Times New Roman"/>
                <w:b w:val="false"/>
                <w:sz w:val="26"/>
              </w:rPr>
              <w:t>Du lịch</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06/2017/TT-BVHTTDL</w:t>
            </w:r>
          </w:p>
        </w:tc>
        <w:tc>
          <w:p/>
          <w:p>
            <w:pPr>
              <w:spacing w:after="0" w:before="0" w:lineRule="auto" w:line="276"/>
              <w:jc w:val="left"/>
            </w:pPr>
            <w:r>
              <w:rPr>
                <w:rFonts w:ascii="Times New Roman" w:hAnsi="Times New Roman" w:cs="Times New Roman" w:eastAsia="Times New Roman"/>
                <w:b w:val="false"/>
                <w:sz w:val="26"/>
              </w:rPr>
              <w:t>Thông tư 06/2017/TT-BVHTTDL-Thông tư quy định chi tiết một số điều của Luật Du lịch.</w:t>
            </w:r>
          </w:p>
        </w:tc>
        <w:tc>
          <w:p/>
          <w:p>
            <w:pPr>
              <w:spacing w:after="0" w:before="0" w:lineRule="auto" w:line="276"/>
              <w:jc w:val="left"/>
            </w:pPr>
            <w:r>
              <w:rPr>
                <w:rFonts w:ascii="Times New Roman" w:hAnsi="Times New Roman" w:cs="Times New Roman" w:eastAsia="Times New Roman"/>
                <w:b w:val="false"/>
                <w:sz w:val="26"/>
              </w:rPr>
              <w:t>15-12-2017</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34/2018/TT-BTC</w:t>
            </w:r>
          </w:p>
        </w:tc>
        <w:tc>
          <w:p/>
          <w:p>
            <w:pPr>
              <w:spacing w:after="0" w:before="0" w:lineRule="auto" w:line="276"/>
              <w:jc w:val="left"/>
            </w:pPr>
            <w:r>
              <w:rPr>
                <w:rFonts w:ascii="Times New Roman" w:hAnsi="Times New Roman" w:cs="Times New Roman" w:eastAsia="Times New Roman"/>
                <w:b w:val="false"/>
                <w:sz w:val="26"/>
              </w:rPr>
              <w:t>Thông tư 34/2018/TT-BTC</w:t>
            </w:r>
          </w:p>
        </w:tc>
        <w:tc>
          <w:p/>
          <w:p>
            <w:pPr>
              <w:spacing w:after="0" w:before="0" w:lineRule="auto" w:line="276"/>
              <w:jc w:val="left"/>
            </w:pPr>
            <w:r>
              <w:rPr>
                <w:rFonts w:ascii="Times New Roman" w:hAnsi="Times New Roman" w:cs="Times New Roman" w:eastAsia="Times New Roman"/>
                <w:b w:val="false"/>
                <w:sz w:val="26"/>
              </w:rPr>
              <w:t>30-03-2018</w:t>
            </w:r>
          </w:p>
        </w:tc>
        <w:tc>
          <w:p/>
        </w:tc>
      </w:tr>
      <w:tr>
        <w:tc>
          <w:p/>
          <w:p>
            <w:pPr>
              <w:spacing w:after="0" w:before="0" w:lineRule="auto" w:line="276"/>
              <w:jc w:val="left"/>
            </w:pPr>
            <w:r>
              <w:rPr>
                <w:rFonts w:ascii="Times New Roman" w:hAnsi="Times New Roman" w:cs="Times New Roman" w:eastAsia="Times New Roman"/>
                <w:b w:val="false"/>
                <w:sz w:val="26"/>
              </w:rPr>
              <w:t>04/2024/TT-BVHTTDL</w:t>
            </w:r>
          </w:p>
        </w:tc>
        <w:tc>
          <w:p/>
          <w:p>
            <w:pPr>
              <w:spacing w:after="0" w:before="0" w:lineRule="auto" w:line="276"/>
              <w:jc w:val="left"/>
            </w:pPr>
            <w:r>
              <w:rPr>
                <w:rFonts w:ascii="Times New Roman" w:hAnsi="Times New Roman" w:cs="Times New Roman" w:eastAsia="Times New Roman"/>
                <w:b w:val="false"/>
                <w:sz w:val="26"/>
              </w:rPr>
              <w:t>Thông tư của Bộ trưởng Bộ VHTTDL</w:t>
            </w:r>
          </w:p>
        </w:tc>
        <w:tc>
          <w:p/>
          <w:p>
            <w:pPr>
              <w:spacing w:after="0" w:before="0" w:lineRule="auto" w:line="276"/>
              <w:jc w:val="left"/>
            </w:pPr>
            <w:r>
              <w:rPr>
                <w:rFonts w:ascii="Times New Roman" w:hAnsi="Times New Roman" w:cs="Times New Roman" w:eastAsia="Times New Roman"/>
                <w:b w:val="false"/>
                <w:sz w:val="26"/>
              </w:rPr>
              <w:t>26-06-2024</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13/2019/TT-BVHTTDL</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06/2017/TT-BVHTTDL NGÀY 15 THÁNG 12 NĂM 2017 CỦA BỘ TRƯỞNG BỘ VĂN HÓA, THỂ THAO VÀ DU LỊCH QUY ĐỊNH CHI TIẾT MỘT SỐ ĐIỀU CỦA LUẬT DU LỊCH</w:t>
            </w:r>
          </w:p>
        </w:tc>
        <w:tc>
          <w:p/>
          <w:p>
            <w:pPr>
              <w:spacing w:after="0" w:before="0" w:lineRule="auto" w:line="276"/>
              <w:jc w:val="left"/>
            </w:pPr>
            <w:r>
              <w:rPr>
                <w:rFonts w:ascii="Times New Roman" w:hAnsi="Times New Roman" w:cs="Times New Roman" w:eastAsia="Times New Roman"/>
                <w:b w:val="false"/>
                <w:sz w:val="26"/>
              </w:rPr>
              <w:t>25-11-2019</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153/TT-BTC</w:t>
            </w:r>
          </w:p>
        </w:tc>
        <w:tc>
          <w:p/>
          <w:p>
            <w:pPr>
              <w:spacing w:after="0" w:before="0" w:lineRule="auto" w:line="276"/>
              <w:jc w:val="left"/>
            </w:pPr>
            <w:r>
              <w:rPr>
                <w:rFonts w:ascii="Times New Roman" w:hAnsi="Times New Roman" w:cs="Times New Roman" w:eastAsia="Times New Roman"/>
                <w:b w:val="false"/>
                <w:sz w:val="26"/>
              </w:rPr>
              <w:t>Thông tư số 153/2025/TT-BTC ngày 31 tháng 12 năm 2025 của Bộ trưởng Bộ Tài chính quy định mức thu, chế độ thu, nộp một số khoản phí, lệ phí thuộc lĩnh vực văn hóa, thể thao, du lịch</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Yêu cầu, điều kiện thực hiện thủ tục hành chính: 
 (1) Có đăng ký kinh doanh và bảo đảm các điều kiện kinh doanh đối với dịch vụ vui chơi, giải trí theo quy định của pháp luật;
 (2) Có nội quy; có nơi đón tiếp, gửi đồ dùng cá nhân;
 (3) Có địa điểm, cơ sở vật chất, dụng cụ, phương tiện phù hợp với từng loại dịch vụ vui chơi giải trí;
 (4) Có người hướng dẫn, nhân viên phục vụ phù hợp với từng dịch vụ vui chơi, giải trí;
 (5) Nhân viên có thái độ phục vụ văn minh, lịch sự; mặc đồng phục và đeo biển tên trên áo; 
 (6) Niêm yết giá, bán đúng giá niêm yết.
 (7) Có nhà vệ sinh sạch sẽ, được thông gió và đủ ánh sáng.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2026-05-19T11:37:57Z</dcterms:created>
  <dc:creator>Apache POI</dc:creator>
</cp:coreProperties>
</file>