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2.001283.000.00.00.H12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01398/QĐ-UBND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đáp ứng đầy đủ các điều kiện quy định tại Nghị định số 87/2017/NĐ-CP gửi 01 bộ hồ sơ đề nghị cấp Giấy chứng nhận đủ điều kiện trực tiếp hoặc qua đường bưu điện hoặc qua mạng điện tử đến cơ quan nhà nước có thẩm quyền.</w:t>
      </w:r>
    </w:p>
    <w:p>
      <w:pPr>
        <w:spacing w:after="0" w:before="0" w:lineRule="auto" w:line="276"/>
        <w:jc w:val="both"/>
      </w:pPr>
      <w:r>
        <w:rPr>
          <w:rFonts w:ascii="Times New Roman" w:hAnsi="Times New Roman" w:cs="Times New Roman" w:eastAsia="Times New Roman"/>
          <w:b w:val="false"/>
          <w:sz w:val="26"/>
        </w:rPr>
        <w:t>2. Trường hợp thương nhân chưa đủ hồ sơ hợp lệ, cơ quan nhà nước có thẩm quyền có văn bản yêu cầu thương nhân bổ sung.</w:t>
      </w:r>
    </w:p>
    <w:p>
      <w:pPr>
        <w:spacing w:after="0" w:before="0" w:lineRule="auto" w:line="276"/>
        <w:jc w:val="both"/>
      </w:pPr>
      <w:r>
        <w:rPr>
          <w:rFonts w:ascii="Times New Roman" w:hAnsi="Times New Roman" w:cs="Times New Roman" w:eastAsia="Times New Roman"/>
          <w:b w:val="false"/>
          <w:sz w:val="26"/>
        </w:rPr>
        <w:t>3.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4. Thời hạn của Giấy chứng nhận đủ điều kiện là 10 năm kể từ ngày cấp mới.</w:t>
      </w:r>
    </w:p>
    <w:p>
      <w:pPr>
        <w:spacing w:after="0" w:before="0" w:lineRule="auto" w:line="276"/>
        <w:jc w:val="both"/>
      </w:pPr>
      <w:r>
        <w:rPr>
          <w:rFonts w:ascii="Times New Roman" w:hAnsi="Times New Roman" w:cs="Times New Roman" w:eastAsia="Times New Roman"/>
          <w:b w:val="false"/>
          <w:sz w:val="26"/>
        </w:rPr>
        <w:t>Trình tự, cách thức thực hiện tại tỉnh Cà Mau:
1. Tổ chức, cá nhân nộp hồ sơ trực tiếp đến Ủy ban nhân dân cấp xã thông qua Trung tâm Phục vụ hành chính công cấp xã; hoặc nộp qua Dịch vụ bưu chính công ích; hoặc nộp trực tuyến trên Cổng Dịch vụ công quốc gia, địa chỉ chỉ website https://dichvucong.gov.vn (nếu đủ điều kiện theo quy định).
2.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10.5 Ngày làm việc</w:t>
            </w:r>
          </w:p>
        </w:tc>
        <w:tc>
          <w:p/>
          <w:p>
            <w:pPr>
              <w:spacing w:after="0" w:before="0" w:lineRule="auto" w:line="276"/>
              <w:jc w:val="left"/>
            </w:pPr>
            <w:r>
              <w:rPr>
                <w:rFonts w:ascii="Times New Roman" w:hAnsi="Times New Roman" w:cs="Times New Roman" w:eastAsia="Times New Roman"/>
                <w:b w:val="false"/>
                <w:sz w:val="26"/>
              </w:rPr>
              <w:t xml:space="preserve">Phí : - Tại khu vực phường: + Đối với tổ chức, doanh nghiệp là 1.200.000 đồng/điểm kinh doanh/lần thẩm định. + Đối với hộ kinh doanh, cá nhân là 400.000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 Tại khu vực khác: + Đối với tổ chức, doanh nghiệp là 600.000 đồng/điểm kinh doanh/lần thẩm định. + Đối với hộ kinh doanh, cá nhân là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Trong thời hạn 10,5 ngày làm việc (cắt giảm 4,5/15 ngày làm việc, tỷ lệ 30%),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10.5 Ngày làm việc</w:t>
            </w:r>
          </w:p>
        </w:tc>
        <w:tc>
          <w:p/>
          <w:p>
            <w:pPr>
              <w:spacing w:after="0" w:before="0" w:lineRule="auto" w:line="276"/>
              <w:jc w:val="left"/>
            </w:pPr>
            <w:r>
              <w:rPr>
                <w:rFonts w:ascii="Times New Roman" w:hAnsi="Times New Roman" w:cs="Times New Roman" w:eastAsia="Times New Roman"/>
                <w:b w:val="false"/>
                <w:sz w:val="26"/>
              </w:rPr>
              <w:t xml:space="preserve">Phí : - Tại khu vực phường: + Đối với tổ chức, doanh nghiệp là 1.200.000 đồng/điểm kinh doanh/lần thẩm định. + Đối với hộ kinh doanh, cá nhân là 400.000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 Tại khu vực khác: + Đối với tổ chức, doanh nghiệp là 600.000 đồng/điểm kinh doanh/lần thẩm định. + Đối với hộ kinh doanh, cá nhân là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Trong thời hạn 10,5 ngày làm việc (cắt giảm 4,5/15 ngày làm việc, tỷ lệ 30%),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10.5 Ngày làm việc</w:t>
            </w:r>
          </w:p>
        </w:tc>
        <w:tc>
          <w:p/>
          <w:p>
            <w:pPr>
              <w:spacing w:after="0" w:before="0" w:lineRule="auto" w:line="276"/>
              <w:jc w:val="left"/>
            </w:pPr>
            <w:r>
              <w:rPr>
                <w:rFonts w:ascii="Times New Roman" w:hAnsi="Times New Roman" w:cs="Times New Roman" w:eastAsia="Times New Roman"/>
                <w:b w:val="false"/>
                <w:sz w:val="26"/>
              </w:rPr>
              <w:t xml:space="preserve">Phí : - Tại khu vực phường: + Đối với tổ chức, doanh nghiệp là 1.200.000 đồng/điểm kinh doanh/lần thẩm định. + Đối với hộ kinh doanh, cá nhân là 400.000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 Tại khu vực khác: + Đối với tổ chức, doanh nghiệp là 600.000 đồng/điểm kinh doanh/lần thẩm định. + Đối với hộ kinh doanh, cá nhân là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Trong thời hạn 10,5 ngày làm việc (cắt giảm 4,5/15 ngày làm việc, tỷ lệ 30%),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cửa hàng bán lẻ LPG chai theo Mẫu số 05 tại Phụ lục kèm theo Nghị định 87/2017/NĐ-CP.</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hợp đồng bán LPG chai với thương nhân có giấy chứng nhận đủ điều kiện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thương nhân được thành lập theo quy định của pháp luật.
2. Có hợp đồng tối thiểu 1 năm bán LPG chai với thương nhân có giấy chứng nhận đủ điều kiện còn hiệu lực theo quy định tại Nghị định số 87/2017/NĐ-CP, trừ trường hợp cửa hàng trực thuộc của thương nhân.
3. Đáp ứng các điều kiện về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2026-05-20T04:24:25Z</dcterms:created>
  <dc:creator>Apache POI</dc:creator>
</cp:coreProperties>
</file>