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1.003011.000.00.00.H36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gửi hồ sơ thẩm định đồ án, đồ án điều chỉnh quy hoạch chi tiết tới cơ quan quản lý quy hoạch xây dựng cấp tỉnh.</w:t>
      </w:r>
    </w:p>
    <w:p>
      <w:pPr>
        <w:spacing w:after="0" w:before="0" w:lineRule="auto" w:line="276"/>
        <w:jc w:val="both"/>
      </w:pPr>
      <w:r>
        <w:rPr>
          <w:rFonts w:ascii="Times New Roman" w:hAnsi="Times New Roman" w:cs="Times New Roman" w:eastAsia="Times New Roman"/>
          <w:b w:val="false"/>
          <w:sz w:val="26"/>
        </w:rPr>
        <w:t>- Bước 2: 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Bộ Xây dựng quy định chi tiết về chi phí thẩm định đồ án </w:t>
              <w:t xml:space="preserve"> (Bộ Xây dựng quy định chi tiết về chi phí thẩm định đồ án)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Bộ Xây dựng quy định chi tiết về chi phí thẩm định đồ án </w:t>
              <w:t xml:space="preserve"> (Bộ Xây dựng quy định chi tiết về chi phí thẩm định đồ án)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Bộ Xây dựng quy định chi tiết về chi phí thẩm định đồ án </w:t>
              <w:t xml:space="preserve"> (Bộ Xây dựng quy định chi tiết về chi phí thẩm định đồ án)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nội dung đồ án bao gồm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định quản lý theo đồ án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phê duyệt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phụ lục tính toán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in màu đúng tỷ lệ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đồ án, đồ án điều chỉnh quy hoạch chi tiết.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2026-05-25T21:02:21Z</dcterms:created>
  <dc:creator>Apache POI</dc:creator>
</cp:coreProperties>
</file>