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2.000576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1247/QĐ-BTP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khiếu nại về THADS (lần 2)-cấp Trung ương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Thi hành án dân sự</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Trường hợp đương sự không đồng ý với quyết định giải quyết khiếu nại lần đầu của Thủ trưởng cơ quan THADS cấp tỉnh, Thủ trưởng cơ quan THA cấp quân khu hoặc quyết định giải quyết khiếu nại của Thủ trưởng cơ quan quản lý THADS thuộc Bộ Tư pháp, Thủ trưởng cơ quan quản lý THA thuộc Bộ Quốc phòng thì nộp đơn khiếu nại tiếp kèm theo bản sao quyết định giải quyết khiếu nại lần đầu và tài liệu liên quan đến Tổng cục THADS, Cục THA Bộ Quốc phòng, Bộ trưởng Bộ Tư pháp hoặc Bộ trưởng Bộ Quốc phòng.</w:t>
      </w:r>
    </w:p>
    <w:p>
      <w:pPr>
        <w:spacing w:after="0" w:before="0" w:lineRule="auto" w:line="276"/>
        <w:jc w:val="both"/>
      </w:pPr>
      <w:r>
        <w:rPr>
          <w:rFonts w:ascii="Times New Roman" w:hAnsi="Times New Roman" w:cs="Times New Roman" w:eastAsia="Times New Roman"/>
          <w:b w:val="false"/>
          <w:sz w:val="26"/>
        </w:rPr>
        <w:t>Trong thời hạn 05 ngày làm việc, kể từ ngày nhận được báo cáo, hồ sơ, tài liệu có liên quan của cơ quan thi hành án dân sự cấp dưới đối với đơn khiếu nại lần hai, người có thẩm quyền giải quyết khiếu nại phải vào sổ thụ lý để giải quyết và Thông báo bằng văn bản cho người khiếu nại. Công chức được phân công có nhiệm vụ lập hồ sơ giải quyết khiếu nại theo quy định của Luật thi hành án dân sự và Luật Khiếu nại.</w:t>
      </w:r>
    </w:p>
    <w:p>
      <w:pPr>
        <w:spacing w:after="0" w:before="0" w:lineRule="auto" w:line="276"/>
        <w:jc w:val="both"/>
      </w:pPr>
      <w:r>
        <w:rPr>
          <w:rFonts w:ascii="Times New Roman" w:hAnsi="Times New Roman" w:cs="Times New Roman" w:eastAsia="Times New Roman"/>
          <w:b w:val="false"/>
          <w:sz w:val="26"/>
        </w:rPr>
        <w:t>Trong quá trình giải quyết khiếu nại lần hai, người có thẩm quyền giải quyết khiếu nại có các quyền được quy định tại Điều 145 của Luật THADS và có quyền yêu cầu người giải quyết khiếu nại lần đầu, cơ quan, tổ chức, cá nhân có liên quan cung cấp thông tin, tài liệu và những bằng chứng liên quan đến nội dung khiếu nại; triệu tập người bị khiếu nại, người khiếu nại để tổ chức đối thoại khi cần thiết; xác minh; trưng cầu giám định, tiến hành các biện pháp khác theo quy định của pháp luật để giải quyết khiếu nại. Cơ quan, tổ chức, cá nhân khi nhận được yêu cầu phải thực hiện đúng các yêu cầu đó.</w:t>
      </w:r>
    </w:p>
    <w:p>
      <w:pPr>
        <w:spacing w:after="0" w:before="0" w:lineRule="auto" w:line="276"/>
        <w:jc w:val="both"/>
      </w:pPr>
      <w:r>
        <w:rPr>
          <w:rFonts w:ascii="Times New Roman" w:hAnsi="Times New Roman" w:cs="Times New Roman" w:eastAsia="Times New Roman"/>
          <w:b w:val="false"/>
          <w:sz w:val="26"/>
        </w:rPr>
        <w:t xml:space="preserve">Người có thẩm quyền giải quyết khiếu nại lần hai phải ra quyết định giải quyết khiếu nại.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- 30 ngày, kể từ ngày thụ lý đơn khiếu nại đối với quyết định, hành vi về thi hành án trước khi áp dụng biện pháp bảo đảm, biện pháp cưỡng chế;  - 05 ngày làm việc, kể từ ngày thụ lý đơn khiếu nại đối với quyết định về áp dụng biện pháp phong toả tài khoản và quyết định, hành vi về áp dụng biện pháp bảo đảm khác;  - 45 ngày, kể từ ngày thụ lý đơn khiếu nại đối với quyết định, hành vi về áp dụng biện pháp cưỡng chế.  - 30 ngày, kể từ ngày thụ lý đơn khiếu nại đối với quyết định, hành vi sau khi áp dụng biện pháp cưỡng chế.  - Trường hợp ở vùng sâu, vùng xa, đường sá xa xôi, đi lại khó khăn; vụ việc có tính chất phức tạp cần xác minh, thẩm tra, đối thoại, trưng cầu giám định, tổ chức họp, trao đổi ý kiến với các cơ quan, tổ chức, cá nhân có liên quan hoặc tiến hành các biện pháp cần thiết khác theo quy định của pháp luật thì thời hạn có thể kéo dài nhưng không quá 30 ngày, kể từ ngày hết thời hạn giải quyết khiếu nại. </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của người khiếu nại phải ghi rõ ngày, tháng, năm khiếu nại; họ, tên, địa chỉ của người khiếu nại; họ, tên, địa chỉ của người bị khiếu nại; nội dung khiếu nại, lý do khiếu nại và yêu cầu giải quyết. Đơn khiếu nại phải do người khiếu nại ký tên hoặc điểm chỉ</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Nếu trình bày trực tiếp nội dung khiếu nại tại cơ quan có thẩm quyền giải quyết khiếu nại thì người có trách nhiệm tiếp nhận việc khiếu nại phải hướng dẫn người khiếu nại viết thành đơn hoặc ghi lại nội dung theo quy định, có chữ ký hoặc điểm chỉ của người khiếu nại.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Nếu khiếu nại thông qua người đại diện thì người đại diện phải có giấy tờ chứng minh tính hợp pháp của việc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quyết định giải quyết khiếu nại lần đầu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Tài liệu liên quan cho người có thẩm quyền giải quyết khiếu nại lần hai.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Tổng cục Thi hành án dân sự, Bộ trưởng Bộ Tư pháp, Cục trưởng Cục Thi hành án thuộc Bộ Quốc phòng, Bộ trưởng Bộ Quốc phòng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giải quyết khiếu nại lần hai.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62/2015/NĐ-CP</w:t>
            </w:r>
          </w:p>
        </w:tc>
        <w:tc>
          <w:p/>
          <w:p>
            <w:pPr>
              <w:spacing w:after="0" w:before="0" w:lineRule="auto" w:line="276"/>
              <w:jc w:val="left"/>
            </w:pPr>
            <w:r>
              <w:rPr>
                <w:rFonts w:ascii="Times New Roman" w:hAnsi="Times New Roman" w:cs="Times New Roman" w:eastAsia="Times New Roman"/>
                <w:b w:val="false"/>
                <w:sz w:val="26"/>
              </w:rPr>
              <w:t>Nghị định 62/2015/NĐ-CP</w:t>
            </w:r>
          </w:p>
        </w:tc>
        <w:tc>
          <w:p/>
          <w:p>
            <w:pPr>
              <w:spacing w:after="0" w:before="0" w:lineRule="auto" w:line="276"/>
              <w:jc w:val="left"/>
            </w:pPr>
            <w:r>
              <w:rPr>
                <w:rFonts w:ascii="Times New Roman" w:hAnsi="Times New Roman" w:cs="Times New Roman" w:eastAsia="Times New Roman"/>
                <w:b w:val="false"/>
                <w:sz w:val="26"/>
              </w:rPr>
              <w:t>18-07-2015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26/2008/QH12</w:t>
            </w:r>
          </w:p>
        </w:tc>
        <w:tc>
          <w:p/>
          <w:p>
            <w:pPr>
              <w:spacing w:after="0" w:before="0" w:lineRule="auto" w:line="276"/>
              <w:jc w:val="left"/>
            </w:pPr>
            <w:r>
              <w:rPr>
                <w:rFonts w:ascii="Times New Roman" w:hAnsi="Times New Roman" w:cs="Times New Roman" w:eastAsia="Times New Roman"/>
                <w:b w:val="false"/>
                <w:sz w:val="26"/>
              </w:rPr>
              <w:t>Luật 26/2008/QH12</w:t>
            </w:r>
          </w:p>
        </w:tc>
        <w:tc>
          <w:p/>
          <w:p>
            <w:pPr>
              <w:spacing w:after="0" w:before="0" w:lineRule="auto" w:line="276"/>
              <w:jc w:val="left"/>
            </w:pPr>
            <w:r>
              <w:rPr>
                <w:rFonts w:ascii="Times New Roman" w:hAnsi="Times New Roman" w:cs="Times New Roman" w:eastAsia="Times New Roman"/>
                <w:b w:val="false"/>
                <w:sz w:val="26"/>
              </w:rPr>
              <w:t>14-11-2008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64/2014/QH13</w:t>
            </w:r>
          </w:p>
        </w:tc>
        <w:tc>
          <w:p/>
          <w:p>
            <w:pPr>
              <w:spacing w:after="0" w:before="0" w:lineRule="auto" w:line="276"/>
              <w:jc w:val="left"/>
            </w:pPr>
            <w:r>
              <w:rPr>
                <w:rFonts w:ascii="Times New Roman" w:hAnsi="Times New Roman" w:cs="Times New Roman" w:eastAsia="Times New Roman"/>
                <w:b w:val="false"/>
                <w:sz w:val="26"/>
              </w:rPr>
              <w:t>Luật 64/2014/QH13</w:t>
            </w:r>
          </w:p>
        </w:tc>
        <w:tc>
          <w:p/>
          <w:p>
            <w:pPr>
              <w:spacing w:after="0" w:before="0" w:lineRule="auto" w:line="276"/>
              <w:jc w:val="left"/>
            </w:pPr>
            <w:r>
              <w:rPr>
                <w:rFonts w:ascii="Times New Roman" w:hAnsi="Times New Roman" w:cs="Times New Roman" w:eastAsia="Times New Roman"/>
                <w:b w:val="false"/>
                <w:sz w:val="26"/>
              </w:rPr>
              <w:t>25-11-2014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02/2016/TT-BTP</w:t>
            </w:r>
          </w:p>
        </w:tc>
        <w:tc>
          <w:p/>
          <w:p>
            <w:pPr>
              <w:spacing w:after="0" w:before="0" w:lineRule="auto" w:line="276"/>
              <w:jc w:val="left"/>
            </w:pPr>
            <w:r>
              <w:rPr>
                <w:rFonts w:ascii="Times New Roman" w:hAnsi="Times New Roman" w:cs="Times New Roman" w:eastAsia="Times New Roman"/>
                <w:b w:val="false"/>
                <w:sz w:val="26"/>
              </w:rPr>
              <w:t>Thông tư 02/2016/TT-BTP</w:t>
            </w:r>
          </w:p>
        </w:tc>
        <w:tc>
          <w:p/>
          <w:p>
            <w:pPr>
              <w:spacing w:after="0" w:before="0" w:lineRule="auto" w:line="276"/>
              <w:jc w:val="left"/>
            </w:pPr>
            <w:r>
              <w:rPr>
                <w:rFonts w:ascii="Times New Roman" w:hAnsi="Times New Roman" w:cs="Times New Roman" w:eastAsia="Times New Roman"/>
                <w:b w:val="false"/>
                <w:sz w:val="26"/>
              </w:rPr>
              <w:t>01-02-2016</w:t>
            </w:r>
          </w:p>
        </w:tc>
        <w:tc>
          <w:p/>
          <w:p>
            <w:pPr>
              <w:spacing w:after="0" w:before="0" w:lineRule="auto" w:line="276"/>
              <w:jc w:val="left"/>
            </w:pPr>
            <w:r>
              <w:rPr>
                <w:rFonts w:ascii="Times New Roman" w:hAnsi="Times New Roman" w:cs="Times New Roman" w:eastAsia="Times New Roman"/>
                <w:b w:val="false"/>
                <w:sz w:val="26"/>
              </w:rPr>
              <w:t>Bộ Tư pháp</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Những trường hợp khiếu nại không được thụ lý giải quyết:
- Quyết định, hành vi bị khiếu nại không liên quan trực tiếp đến quyền, lợi ích hợp pháp của người khiếu nại.
- Người khiếu nại không có năng lực hành vi dân sự đầy đủ mà không có người đại diện hợp pháp, trừ trường hợp pháp luật có quy định khác.
- Người đại diện không có giấy tờ chứng minh về việc đại diện hợp pháp của mình.
- Thời hiệu khiếu nại đã hết.
- Việc khiếu nại đã có quyết định giải quyết khiếu nại có hiệu lực thi hành, trừ trường hợp quy định tại điểm b khoản 4 và điểm b khoản 7 Điều 142 của Luật THADS.</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2026-05-20T06:12:59Z</dcterms:created>
  <dc:creator>Apache POI</dc:creator>
</cp:coreProperties>
</file>