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sinh tại Trung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và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và chuyển thông tin đến Cơ sở dữ liệu quốc gia về dân cư về dân cư để lấy Số định danh cá nhân.
- Sau khi Cơ sở dữ liệu quốc gia về dân cư trả về Số định danh cá nhân, công chức tư pháp - hộ tịch in Giấy khai sinh, bản sao Giấy khai sinh, bản điện tử Giấy khai sinh trình Lãnh đạo Ủy ban nhân dân cấp xã ký, chuyển tới Trung tâm Phục vụ hành chính công để trả kết quả cho người yêu cầu.
* Lưu ý:
- Trường hợp cha, mẹ trẻ đã đăng ký kết hôn, trên cơ sở thông tin về Giấy chứng nhận kết hôn cung cấp trong hồ sơ đăng ký khai sinh, cơ quan đăng ký hộ tịch có trách nhiệm tra cứu, xác thực thông tin trên Hệ thống thông tin giải quyết thủ tục hành chính cấp tỉnh thông qua kết nối với Cơ sở dữ liệu hộ tịch điện tử, Cơ sở dữ liệu quốc gia về dân cư. Kết quả tra cứu được lưu trữ dưới dạng điện tử hoặc bản giấy, phản ánh đầy đủ, chính xác thông tin tại thời điểm tra cứu và đính kèm trong hồ sơ của người đăng ký. 
Trường hợp không tra cứu được tình trạng hôn nhân do chưa có thông tin trong Cơ sở dữ liệu hộ tịch điện tử, Cơ sở dữ liệu quốc gia về dân cư,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 
- Trong thời hạn 60 ngày kể từ ngày sinh con, cha hoặc mẹ có trách nhiệm đăng ký khai sinh cho con; trường hợp cha, mẹ không thể đăng ký khai sinh cho con thì ông hoặc bà hoặc người thân thích khác hoặc cá nhân, tổ chức đang nuôi dưỡng trẻ em có trách nhiệm đăng ký khai sinh cho trẻ em.
- Trường hợp đăng ký khai sinh cho trẻ bị bỏ rơi thì sau khi nhận được thông báo, Lãnh đạo Ủy ban nhân dân hoặc Trưởng công an cấp xã có trách nhiệm tổ chức lập biên bản về việc trẻ bị bỏ rơi.
Sau khi lập biên bản, Ủy ban nhân dân cấp xã tiến hành niêm yết tại trụ sở Ủy ban nhân dân trong 07 ngày liên tục về việc trẻ bị bỏ rơi. Hết thời hạn niêm yết, nếu không có thông tin về cha, mẹ đẻ của trẻ, Ủy ban nhân dân cấp xã thông báo cho cá nhân hoặc tổ chức đang tạm thời nuôi dưỡng trẻ để tiến hành đăng ký khai sinh cho trẻ.
- Trường hợp trẻ chưa xác định được cha thì họ, dân tộc, quê quán, quốc tịch của con được xác định theo họ, dân tộc, quê quán, quốc tịch của mẹ; phần ghi về cha của trẻ để trống. Nếu vào thời điểm đăng ký khai sinh người cha yêu cầu làm thủ tục nhận con thì kết hợp giải quyết việc nhận con và đăng ký khai sinh.
- Trường hợp trẻ chưa xác định được mẹ mà khi đăng ký khai sinh cha yêu cầu làm thủ tục nhận con thì kết hợp giải quyết việc nhận con và đăng ký khai sinh; phần khai về mẹ của trẻ để trống.
- Trường hợp trẻ chưa xác định được cả cha và mẹ nhưng không thuộc diện bị bỏ rơi, thì thực hiện tương tự như đăng ký khai sinh cho trẻ bị bỏ rơi, trong Sổ hộ tịch ghi rõ “Trẻ chưa xác định được cha, mẹ”.</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Thủ tục này đủ điều kiện thực hiện dịch vụ công trực tuyến toàn trình.
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yêu cầu,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Người yêu cầu đăng ký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bị bỏ rơi thì phải có biên bản về việc trẻ bị bỏ rơi do cơ quan có thẩm quyền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đi đăng ký khai sinh cho trẻ em là ông, bà, người thân thích khác thì không phải có văn bản ủy quyền của cha, mẹ trẻ em, nhưng phải thống nhất với cha, mẹ trẻ em về các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52/2014/QH13 </w:t>
            </w:r>
          </w:p>
        </w:tc>
        <w:tc>
          <w:p/>
          <w:p>
            <w:pPr>
              <w:spacing w:after="0" w:before="0" w:lineRule="auto" w:line="276"/>
              <w:jc w:val="left"/>
            </w:pPr>
            <w:r>
              <w:rPr>
                <w:rFonts w:ascii="Times New Roman" w:hAnsi="Times New Roman" w:cs="Times New Roman" w:eastAsia="Times New Roman"/>
                <w:b w:val="false"/>
                <w:sz w:val="26"/>
              </w:rPr>
              <w:t>Luật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2026-05-18T16:34:12Z</dcterms:created>
  <dc:creator>Apache POI</dc:creator>
</cp:coreProperties>
</file>