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thị thực cho người nước ngoài tại Việt Nam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Cơ quan, tổ chức, cá nhân, công dân Việt Nam và người nước ngoài cư trú hợp pháp tại Việt Nam, nộp hồ sơ trực tiếp vào giờ hành chính các ngày làm việc trong tuần tại Cơ quan Quản lý xuất nhập cảnh Công an cấp tỉnh hoặc nộp hồ sơ qua Cổng dịch vụ công quốc gia hoặc Cổng dịch vụ công Bộ Công an và gửi bổ sung hồ sơ qua dịch vụ bưu chính công ích theo thông báo của Cơ quan Quản lý xuất nhập cảnh trên Cổng dịch vụ công quốc gia hoặc Cổng dịch vụ công Bộ Công an (nếu có).
* Cán bộ tiếp nhận hồ sơ kiểm tra tính pháp lý và nội dung hồ sơ: 
+ Trường hợp hồ sơ đã đầy đủ, hợp lệ thì cấp giấy hẹn trả kết quả cho người đề nghị cấp thị thực; yêu cầu nộp phí cho cán bộ thu phí, cán bộ thu phí thu tiền, giao biên lai thu tiền cho người đề nghị cấp thị thực hoặc thông báo trên Cổng dịch vụ công quốc gia hoặc Cổng dịch vụ công Bộ Công an để người đề nghị cấp thị thực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cấp thị thực hoàn chỉnh hồ sơ.
+ Trường hợp hồ sơ không đủ điều kiện thì không tiếp nhận hồ sơ, trả lời bằng văn bản hoặc thông báo trên Cổng dịch vụ công quốc gia hoặc Cổng dịch vụ công Bộ Công an và nêu rõ lý do.
* Trường hợp hồ sơ được nộp qua Cổng dịch vụ công quốc gia hoặc Cổng dịch vụ công Bộ Công an mà thuộc thẩm quyền giải quyết của Cục Quản lý xuất nhập cảnh thì chuyển thông tin đến Cục Quản lý xuất nhập cảnh và thông báo cho người nộp hồ sơ biết.
* Trường hợp nộp hồ sơ trực tuyến, người đề nghị cấp thị thực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thị thực trực tiếp nhận kết quả tại Cơ quan Quản lý xuất nhập cảnh Công an cấp tỉnh; khi đến nhận kết quả mang theo giấy hẹn trả kết quả, biên lai thu tiền để đối chiếu. Trường hợp đề nghị nhận kết quả qua dịch vụ bưu chính thực hiện theo hướng dẫn của cơ quan cung cấp dịch vụ bưu chính.
+ Trường hợp chưa cấp thị thực thì trả lời bằng văn bản hoặc thông báo trên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thẻ tạm trú, thời hạn tạm trú còn giá trị từ hộ chiếu cũ sang hộ chiếu mới)</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thời hạn tạm trú còn giá trị từ thị thực rời cũ (đã hết chỗ đóng dấu: kiểm chứng nhập cảnh, kiểm chứng xuất cảnh, chứng nhận tạm trú, gia hạn tạm trú) sang thị thực rời mới)</w:t>
            </w:r>
          </w:p>
          <w:p>
            <w:pPr>
              <w:spacing w:after="0" w:before="0" w:lineRule="auto" w:line="276"/>
              <w:jc w:val="left"/>
            </w:pPr>
            <w:r>
              <w:rPr>
                <w:rFonts w:ascii="Times New Roman" w:hAnsi="Times New Roman" w:cs="Times New Roman" w:eastAsia="Times New Roman"/>
                <w:b w:val="false"/>
                <w:sz w:val="26"/>
              </w:rPr>
              <w:t>Phí : 25 USD</w:t>
              <w:t xml:space="preserve"> (Cấp thị thực có giá trị một lần)</w:t>
            </w:r>
          </w:p>
          <w:p>
            <w:pPr>
              <w:spacing w:after="0" w:before="0" w:lineRule="auto" w:line="276"/>
              <w:jc w:val="left"/>
            </w:pPr>
            <w:r>
              <w:rPr>
                <w:rFonts w:ascii="Times New Roman" w:hAnsi="Times New Roman" w:cs="Times New Roman" w:eastAsia="Times New Roman"/>
                <w:b w:val="false"/>
                <w:sz w:val="26"/>
              </w:rPr>
              <w:t>Phí : 90 USD</w:t>
              <w:t xml:space="preserve"> (Cấp thị thực có giá trị nhiều lần: Loại có giá trị không quá 90 ngày)</w:t>
            </w:r>
          </w:p>
          <w:p>
            <w:pPr>
              <w:spacing w:after="0" w:before="0" w:lineRule="auto" w:line="276"/>
              <w:jc w:val="left"/>
            </w:pPr>
            <w:r>
              <w:rPr>
                <w:rFonts w:ascii="Times New Roman" w:hAnsi="Times New Roman" w:cs="Times New Roman" w:eastAsia="Times New Roman"/>
                <w:b w:val="false"/>
                <w:sz w:val="26"/>
              </w:rPr>
              <w:t>Phí : 95 USD</w:t>
              <w:t xml:space="preserve"> (Cấp thị thực có giá trị nhiều lần: Loại có giá trị trên 90 ngày đến 180 ngày)</w:t>
            </w:r>
          </w:p>
          <w:p>
            <w:pPr>
              <w:spacing w:after="0" w:before="0" w:lineRule="auto" w:line="276"/>
              <w:jc w:val="left"/>
            </w:pPr>
            <w:r>
              <w:rPr>
                <w:rFonts w:ascii="Times New Roman" w:hAnsi="Times New Roman" w:cs="Times New Roman" w:eastAsia="Times New Roman"/>
                <w:b w:val="false"/>
                <w:sz w:val="26"/>
              </w:rPr>
              <w:t>Phí : 135 USD</w:t>
              <w:t xml:space="preserve"> (Cấp thị thực có giá trị nhiều lần: Loại có giá trị trên 180 ngày đến 01 năm)</w:t>
            </w:r>
          </w:p>
          <w:p>
            <w:pPr>
              <w:spacing w:after="0" w:before="0" w:lineRule="auto" w:line="276"/>
              <w:jc w:val="left"/>
            </w:pPr>
            <w:r>
              <w:rPr>
                <w:rFonts w:ascii="Times New Roman" w:hAnsi="Times New Roman" w:cs="Times New Roman" w:eastAsia="Times New Roman"/>
                <w:b w:val="false"/>
                <w:sz w:val="26"/>
              </w:rPr>
              <w:t>Phí : 145 USD</w:t>
              <w:t xml:space="preserve"> (Cấp thị thực có giá trị nhiều lần: Loại có giá trị trên 12 tháng đến 02 năm)</w:t>
            </w:r>
          </w:p>
          <w:p>
            <w:pPr>
              <w:spacing w:after="0" w:before="0" w:lineRule="auto" w:line="276"/>
              <w:jc w:val="left"/>
            </w:pPr>
            <w:r>
              <w:rPr>
                <w:rFonts w:ascii="Times New Roman" w:hAnsi="Times New Roman" w:cs="Times New Roman" w:eastAsia="Times New Roman"/>
                <w:b w:val="false"/>
                <w:sz w:val="26"/>
              </w:rPr>
              <w:t>Phí : 155 USD</w:t>
              <w:t xml:space="preserve"> (Cấp thị thực có giá trị nhiều lần: Loại có giá trị trên 02 năm đến 05 năm)</w:t>
            </w:r>
          </w:p>
          <w:p>
            <w:pPr>
              <w:spacing w:after="0" w:before="0" w:lineRule="auto" w:line="276"/>
              <w:jc w:val="left"/>
            </w:pPr>
            <w:r>
              <w:rPr>
                <w:rFonts w:ascii="Times New Roman" w:hAnsi="Times New Roman" w:cs="Times New Roman" w:eastAsia="Times New Roman"/>
                <w:b w:val="false"/>
                <w:sz w:val="26"/>
              </w:rPr>
              <w:t>Phí : 25 USD</w:t>
              <w:t xml:space="preserve"> (Thị thực cấp cho người dưới 14 tuổi (không phân biệt thời hạn))</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Quản lý xuất nhập cảnh Công an cấp tỉnh.
không quá 05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25 USD</w:t>
              <w:t xml:space="preserve"> (Cấp thị thực có giá trị một lần)</w:t>
            </w:r>
          </w:p>
          <w:p>
            <w:pPr>
              <w:spacing w:after="0" w:before="0" w:lineRule="auto" w:line="276"/>
              <w:jc w:val="left"/>
            </w:pPr>
            <w:r>
              <w:rPr>
                <w:rFonts w:ascii="Times New Roman" w:hAnsi="Times New Roman" w:cs="Times New Roman" w:eastAsia="Times New Roman"/>
                <w:b w:val="false"/>
                <w:sz w:val="26"/>
              </w:rPr>
              <w:t>Phí : 90 USD</w:t>
              <w:t xml:space="preserve"> (Cấp thị thực có giá trị nhiều lần: Loại có giá trị không quá 90 ngày)</w:t>
            </w:r>
          </w:p>
          <w:p>
            <w:pPr>
              <w:spacing w:after="0" w:before="0" w:lineRule="auto" w:line="276"/>
              <w:jc w:val="left"/>
            </w:pPr>
            <w:r>
              <w:rPr>
                <w:rFonts w:ascii="Times New Roman" w:hAnsi="Times New Roman" w:cs="Times New Roman" w:eastAsia="Times New Roman"/>
                <w:b w:val="false"/>
                <w:sz w:val="26"/>
              </w:rPr>
              <w:t>Phí : 95 USD</w:t>
              <w:t xml:space="preserve"> (Cấp thị thực có giá trị nhiều lần: Loại có giá trị trên 90 ngày đến 180 ngày)</w:t>
            </w:r>
          </w:p>
          <w:p>
            <w:pPr>
              <w:spacing w:after="0" w:before="0" w:lineRule="auto" w:line="276"/>
              <w:jc w:val="left"/>
            </w:pPr>
            <w:r>
              <w:rPr>
                <w:rFonts w:ascii="Times New Roman" w:hAnsi="Times New Roman" w:cs="Times New Roman" w:eastAsia="Times New Roman"/>
                <w:b w:val="false"/>
                <w:sz w:val="26"/>
              </w:rPr>
              <w:t>Phí : 135 USD</w:t>
              <w:t xml:space="preserve"> (Cấp thị thực có giá trị nhiều lần: Loại có giá trị trên 180 ngày đến 01 năm)</w:t>
            </w:r>
          </w:p>
          <w:p>
            <w:pPr>
              <w:spacing w:after="0" w:before="0" w:lineRule="auto" w:line="276"/>
              <w:jc w:val="left"/>
            </w:pPr>
            <w:r>
              <w:rPr>
                <w:rFonts w:ascii="Times New Roman" w:hAnsi="Times New Roman" w:cs="Times New Roman" w:eastAsia="Times New Roman"/>
                <w:b w:val="false"/>
                <w:sz w:val="26"/>
              </w:rPr>
              <w:t>Phí : 145 USD</w:t>
              <w:t xml:space="preserve"> (Cấp thị thực có giá trị nhiều lần: Loại có giá trị trên 12 tháng đến 02 năm)</w:t>
            </w:r>
          </w:p>
          <w:p>
            <w:pPr>
              <w:spacing w:after="0" w:before="0" w:lineRule="auto" w:line="276"/>
              <w:jc w:val="left"/>
            </w:pPr>
            <w:r>
              <w:rPr>
                <w:rFonts w:ascii="Times New Roman" w:hAnsi="Times New Roman" w:cs="Times New Roman" w:eastAsia="Times New Roman"/>
                <w:b w:val="false"/>
                <w:sz w:val="26"/>
              </w:rPr>
              <w:t>Phí : 25 USD</w:t>
              <w:t xml:space="preserve"> (Thị thực cấp cho người dưới 14 tuổi (không phân biệt thời hạn))</w:t>
            </w:r>
          </w:p>
          <w:p>
            <w:pPr>
              <w:spacing w:after="0" w:before="0" w:lineRule="auto" w:line="276"/>
              <w:jc w:val="left"/>
            </w:pPr>
            <w:r>
              <w:rPr>
                <w:rFonts w:ascii="Times New Roman" w:hAnsi="Times New Roman" w:cs="Times New Roman" w:eastAsia="Times New Roman"/>
                <w:b w:val="false"/>
                <w:sz w:val="26"/>
              </w:rPr>
              <w:t>Phí : 155 USD</w:t>
              <w:t xml:space="preserve"> (Cấp thị thực có giá trị nhiều lần: Loại có giá trị trên 02 năm đến 05 năm)</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thẻ tạm trú, thời hạn tạm trú còn giá trị từ hộ chiếu cũ sang hộ chiếu mới)</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thời hạn tạm trú còn giá trị từ thị thực rời cũ (đã hết chỗ đóng dấu: kiểm chứng nhập cảnh, kiểm chứng xuất cảnh, chứng nhận tạm trú, gia hạn tạm trú) sang thị thực rời mới)</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05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25 USD</w:t>
              <w:t xml:space="preserve"> (Cấp thị thực có giá trị một lần)</w:t>
            </w:r>
          </w:p>
          <w:p>
            <w:pPr>
              <w:spacing w:after="0" w:before="0" w:lineRule="auto" w:line="276"/>
              <w:jc w:val="left"/>
            </w:pPr>
            <w:r>
              <w:rPr>
                <w:rFonts w:ascii="Times New Roman" w:hAnsi="Times New Roman" w:cs="Times New Roman" w:eastAsia="Times New Roman"/>
                <w:b w:val="false"/>
                <w:sz w:val="26"/>
              </w:rPr>
              <w:t>Phí : 90 USD</w:t>
              <w:t xml:space="preserve"> (Cấp thị thực có giá trị nhiều lần: Loại có giá trị không quá 90 ngày)</w:t>
            </w:r>
          </w:p>
          <w:p>
            <w:pPr>
              <w:spacing w:after="0" w:before="0" w:lineRule="auto" w:line="276"/>
              <w:jc w:val="left"/>
            </w:pPr>
            <w:r>
              <w:rPr>
                <w:rFonts w:ascii="Times New Roman" w:hAnsi="Times New Roman" w:cs="Times New Roman" w:eastAsia="Times New Roman"/>
                <w:b w:val="false"/>
                <w:sz w:val="26"/>
              </w:rPr>
              <w:t>Phí : 95 USD</w:t>
              <w:t xml:space="preserve"> (Cấp thị thực có giá trị nhiều lần: Loại có giá trị trên 90 ngày đến 180 ngày)</w:t>
            </w:r>
          </w:p>
          <w:p>
            <w:pPr>
              <w:spacing w:after="0" w:before="0" w:lineRule="auto" w:line="276"/>
              <w:jc w:val="left"/>
            </w:pPr>
            <w:r>
              <w:rPr>
                <w:rFonts w:ascii="Times New Roman" w:hAnsi="Times New Roman" w:cs="Times New Roman" w:eastAsia="Times New Roman"/>
                <w:b w:val="false"/>
                <w:sz w:val="26"/>
              </w:rPr>
              <w:t>Phí : 135 USD</w:t>
              <w:t xml:space="preserve"> (Cấp thị thực có giá trị nhiều lần: Loại có giá trị trên 180 ngày đến 01 năm)</w:t>
            </w:r>
          </w:p>
          <w:p>
            <w:pPr>
              <w:spacing w:after="0" w:before="0" w:lineRule="auto" w:line="276"/>
              <w:jc w:val="left"/>
            </w:pPr>
            <w:r>
              <w:rPr>
                <w:rFonts w:ascii="Times New Roman" w:hAnsi="Times New Roman" w:cs="Times New Roman" w:eastAsia="Times New Roman"/>
                <w:b w:val="false"/>
                <w:sz w:val="26"/>
              </w:rPr>
              <w:t>Phí : 145 USD</w:t>
              <w:t xml:space="preserve"> (Cấp thị thực có giá trị nhiều lần: Loại có giá trị trên 12 tháng đến 02 năm)</w:t>
            </w:r>
          </w:p>
          <w:p>
            <w:pPr>
              <w:spacing w:after="0" w:before="0" w:lineRule="auto" w:line="276"/>
              <w:jc w:val="left"/>
            </w:pPr>
            <w:r>
              <w:rPr>
                <w:rFonts w:ascii="Times New Roman" w:hAnsi="Times New Roman" w:cs="Times New Roman" w:eastAsia="Times New Roman"/>
                <w:b w:val="false"/>
                <w:sz w:val="26"/>
              </w:rPr>
              <w:t>Phí : 155 USD</w:t>
              <w:t xml:space="preserve"> (Cấp thị thực có giá trị nhiều lần: Loại có giá trị trên 02 năm đến 05 năm)</w:t>
            </w:r>
          </w:p>
          <w:p>
            <w:pPr>
              <w:spacing w:after="0" w:before="0" w:lineRule="auto" w:line="276"/>
              <w:jc w:val="left"/>
            </w:pPr>
            <w:r>
              <w:rPr>
                <w:rFonts w:ascii="Times New Roman" w:hAnsi="Times New Roman" w:cs="Times New Roman" w:eastAsia="Times New Roman"/>
                <w:b w:val="false"/>
                <w:sz w:val="26"/>
              </w:rPr>
              <w:t>Phí : 25 USD</w:t>
              <w:t xml:space="preserve"> (Thị thực cấp cho người dưới 14 tuổi (không phân biệt thời hạn))</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thẻ tạm trú, thời hạn tạm trú còn giá trị từ hộ chiếu cũ sang hộ chiếu mới)</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thời hạn tạm trú còn giá trị từ thị thực rời cũ (đã hết chỗ đóng dấu: kiểm chứng nhập cảnh, kiểm chứng xuất cảnh, chứng nhận tạm trú, gia hạn tạm trú) sang thị thực rời mới)</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Quản lý xuất nhập cảnh Công an cấp tỉnh trên Cổng dịch vụ công quốc gia hoặc Cổng dịch vụ công Bộ Công an (nếu có).
không quá 05 ngày làm việc kể từ khi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thị thực, gia hạn tạm trú (mẫu NA5) ban hành kèm theo Thông tư số 22/2023/TT-BCA ngày 30/6/2023 của Bộ Công an.</w:t>
            </w:r>
          </w:p>
        </w:tc>
        <w:tc>
          <w:p/>
          <w:p>
            <w:pPr>
              <w:spacing w:after="0" w:before="0" w:lineRule="auto" w:line="276"/>
              <w:jc w:val="left"/>
            </w:pPr>
            <w:r>
              <w:rPr>
                <w:rFonts w:ascii="Times New Roman" w:hAnsi="Times New Roman" w:cs="Times New Roman" w:eastAsia="Times New Roman"/>
                <w:b w:val="false"/>
                <w:sz w:val="26"/>
              </w:rPr>
              <w:t>NA5.doc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ảnh mới chụp, cỡ 4 x 6cm, mặt nhìn thẳng, không đội mũ, không đeo kính, trang phục lịch sự, phông ảnh nền trắng nếu thuộc trường hợp cấp thị thực rời.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của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hộ chiếu hoặc giấy tờ có giá trị đi lại quốc tế của người nước ngoài phải gửi qua dịch vụ bưu chính công ích về cơ quan tiếp nhận; thành phần hồ sơ khác phải được chứng thực điện tử theo quy định, trường hợp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Thị thực loại dán hoặc rời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tổ chức đề nghị cấp, bổ sung, sửa đổi thị thực, gia hạn tạm trú cho người nước ngoài, người Việt Nam mang hộ chiếu nước ngoài đã có hồ sơ theo quy định tại khoản 2 Điều 16 Luật Nhập cảnh, xuất cảnh, quá cảnh, cư trú của người nước ngoài tại Việt Nam tại Cục Quản lý xuất nhập cảnh - Bộ Công an theo quy định của Luật số 47/2014/QH13 ngày 16/6/2014.
+ Người nước ngoài, người Việt Nam mang hộ chiếu nước ngoài có hộ chiếu hợp lệ, có thị thực (trừ trường hợp miễn thị thực), chứng nhận tạm trú do cơ quan có thẩm quyền Việt Nam cấp, đang cư trú tại Việt Nam và không thuộc diện "chưa được nhập cảnh Việt Nam" hoặc không thuộc diện “tạm hoãn xuất cảnh”. 
+ Công dân Việt Nam đề nghị cấp, bổ sung, sửa đổi thị thực, gia hạn tạm trú cho người nước ngoài, người Việt Nam mang hộ chiếu nước ngoài là người có quan hệ ông, bà, cha, mẹ, vợ, chồng, con, anh, chị, em ruột với người nước ngoài, người Việt Nam mang hộ chiếu nước ngoài (xuất trình giấy tờ chứng minh quan hệ) theo quy định tại khoản 1 Điều 45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2026-05-18T12:41:01Z</dcterms:created>
  <dc:creator>Apache POI</dc:creator>
</cp:coreProperties>
</file>