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Taekwondo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10/2017/TT-BVHTTDL </w:t>
            </w:r>
          </w:p>
        </w:tc>
        <w:tc>
          <w:p/>
          <w:p>
            <w:pPr>
              <w:spacing w:after="0" w:before="0" w:lineRule="auto" w:line="276"/>
              <w:jc w:val="left"/>
            </w:pPr>
            <w:r>
              <w:rPr>
                <w:rFonts w:ascii="Times New Roman" w:hAnsi="Times New Roman" w:cs="Times New Roman" w:eastAsia="Times New Roman"/>
                <w:b w:val="false"/>
                <w:sz w:val="26"/>
              </w:rPr>
              <w:t>Thông tư 10/2017/TT-BVHTTDL</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bằng phẳng, không trơn trượt, có diện tích từ 60m2 trở lên.
b) Ánh sáng đảm bảo từ 200 lux trở lên.
c) Có túi sơ cứu theo quy định của Bộ Y tế.
d) Có sổ theo dõi võ sinh tham gia tập luyện.
e) Trang thiết bị tập luyện:
- Võ phục tập luyện: 01 bộ/01 võ sinh.
- Đích đá các loại: 10 chiếc/04 võ sinh.
(2) Cơ sở vật chất, trang thiết bị thi đấu
a) Tuân thủ các điều kiện quy định tại điểm b, c, d mục (1) nêu trên.
b) Sàn thi đấu bằng phẳng được trải thảm có tính đàn hồi, kích thước thảm thi đấu 10m x 10m.
c) Võ phục thi đấu, bảo hộ tay, chân, gối, hạ bộ và bịt răng: 01 bộ/01 võ sinh.
d) Giáp, mũ thi đấu Taekwondo: 03 bộ/01 sân.
đ) Bảng công bố điểm, cân trọng lượng võ sinh.
(3) Mật độ tập luyện
a) Mật độ tập luyện trên sàn bảo đảm ít nhất 03m2/01 võ sinh;
b) Mỗi người hướng dẫn tập luyện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2026-05-22T12:03:49Z</dcterms:created>
  <dc:creator>Apache POI</dc:creator>
</cp:coreProperties>
</file>