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nhận chuẩn đo lường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kiểm định được chỉ định đề nghị chứng nhận chuẩn đo lường lập 01 bộ hồ sơ theo quy định đến Tổng cục Tiêu chuẩn Đo lường chất lượng (gọi tắt Tổng cục).</w:t>
      </w:r>
    </w:p>
    <w:p>
      <w:pPr>
        <w:spacing w:after="0" w:before="0" w:lineRule="auto" w:line="276"/>
        <w:jc w:val="both"/>
      </w:pPr>
      <w:r>
        <w:rPr>
          <w:rFonts w:ascii="Times New Roman" w:hAnsi="Times New Roman" w:cs="Times New Roman" w:eastAsia="Times New Roman"/>
          <w:b w:val="false"/>
          <w:sz w:val="26"/>
        </w:rPr>
        <w:t>Bước 2: Tổng cục tiếp nhận hồ sơ, xem xét, thẩm định theo quy định.
- Trường hợp gửi cùng hồ sơ đề nghị chỉ định: hồ sơ được xử lý theo trình tự thực hiện hồ sơ chỉ định thực hiện hoạt động kiểm định, hiệu chuẩn, thử nghiệm phương tiện đo, chuẩn đo lường. 
- Trường hợp hồ sơ được gửi không cùng thời gian với hồ sơ đề nghị chỉ định: 
+ Nếu hồ sơ chưa đầy đủ, hợp lệ: Trong thời hạn mười (10) ngày làm việc kể từ ngày nhận hồ sơ, Tổng cục thông báo bằng văn bản cho tổ chức đề nghị những nội dung cần bổ sung, hoàn chỉnh. 
+ Nếu hồ sơ đầy đủ, hợp lệ: Trong thời hạn mười lăm (15) ngày làm việc kể từ ngày nhận đầy đủ hồ sơ hợp lệ, Tổng cục ra quyết định chứng nhận chuẩn đo lường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chứng nhận chuẩn đo lường.</w:t>
            </w:r>
          </w:p>
        </w:tc>
        <w:tc>
          <w:p/>
          <w:p>
            <w:pPr>
              <w:spacing w:after="0" w:before="0" w:lineRule="auto" w:line="276"/>
              <w:jc w:val="left"/>
            </w:pPr>
            <w:r>
              <w:rPr>
                <w:rFonts w:ascii="Times New Roman" w:hAnsi="Times New Roman" w:cs="Times New Roman" w:eastAsia="Times New Roman"/>
                <w:b w:val="false"/>
                <w:sz w:val="26"/>
              </w:rPr>
              <w:t>Mẫu11.ĐNCNCĐL.doc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xác nhận sao y bản chính của tổ chức kiểm định được chỉ định) giấy chứng nhận hiệu chuẩn của chuẩn công tác theo quy định tại điểm a khoản 1 Điều 20 hoặc giấy chứng nhận thử nghiệm hoặc so sánh của chất chuẩn theo quy định tại điểm a khoản 2 Điều 20 của Thông tư số 24/2013/TT-BKHCN.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chụp của chuẩn đo lường bao gồm một (01) ảnh tổng thể và một (01) ảnh nhãn mác. Ảnh màu cỡ (15 × 20) cm, phải bảo đảm sắc nét, rõ ràng (đối với trường hợp lần đầu tiên đề nghị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quy định về việc duy trì, bảo quản, sử dụng chuẩn đo lường do người đứng đầu tổ chức kiểm định được chỉ định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chứng nhận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86/2012/NĐ-CP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Đo lường</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105/2016/NĐ-CP</w:t>
            </w:r>
          </w:p>
        </w:tc>
        <w:tc>
          <w:p/>
          <w:p>
            <w:pPr>
              <w:spacing w:after="0" w:before="0" w:lineRule="auto" w:line="276"/>
              <w:jc w:val="left"/>
            </w:pPr>
            <w:r>
              <w:rPr>
                <w:rFonts w:ascii="Times New Roman" w:hAnsi="Times New Roman" w:cs="Times New Roman" w:eastAsia="Times New Roman"/>
                <w:b w:val="false"/>
                <w:sz w:val="26"/>
              </w:rPr>
              <w:t>Nghị định 105/2016/NĐ-CP-Quy định về điều kiện hoạt động của tổ chức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24/2013/TT-BKHCN	</w:t>
            </w:r>
          </w:p>
        </w:tc>
        <w:tc>
          <w:p/>
          <w:p>
            <w:pPr>
              <w:spacing w:after="0" w:before="0" w:lineRule="auto" w:line="276"/>
              <w:jc w:val="left"/>
            </w:pPr>
            <w:r>
              <w:rPr>
                <w:rFonts w:ascii="Times New Roman" w:hAnsi="Times New Roman" w:cs="Times New Roman" w:eastAsia="Times New Roman"/>
                <w:b w:val="false"/>
                <w:sz w:val="26"/>
              </w:rPr>
              <w:t>Quy định về hoạt động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Phải đáp ứng các yêu cầu tại văn bản kỹ thuật đo lường Việt Nam tương ứng.
- Phải được hiệu chuẩn, thử nghiệm hoặc so sánh tại tổ chức hiệu chuẩn, thử nghiệm tại Việt Nam có lĩnh vực hoạt động phù hợp được chỉ định hoặc tại tổ chức kiểm định, hiệu chuẩn, thử nghiệm ở nước ngoài có lĩnh vực hoạt động phù hợp được công nhận hoặc chỉ định.
- Được duy trì, bảo quản, sử dụng theo quy định tại Điều 21 của Thông tư 24/2013/TT-BKHCN;
- Phù hợp với lĩnh vực được chỉ định của tổ chức kiểm định được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Chứng nhận chuẩn đo lường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2026-05-28T18:03:51Z</dcterms:created>
  <dc:creator>Apache POI</dc:creator>
</cp:coreProperties>
</file>