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1.003943.000.00.00.H56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sinh cho trường hợp trẻ sinh ra do thực hiện kỹ thuật mang thai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Bên cha mẹ đẻ (nhờ mang thai hộ) hoặc Bên mang thai hộ phải nộp Hồ sơ cho cơ sở y tế nơi trẻ sinh ra:</w:t>
      </w:r>
    </w:p>
    <w:p>
      <w:pPr>
        <w:spacing w:after="0" w:before="0" w:lineRule="auto" w:line="276"/>
        <w:jc w:val="both"/>
      </w:pPr>
      <w:r>
        <w:rPr>
          <w:rFonts w:ascii="Times New Roman" w:hAnsi="Times New Roman" w:cs="Times New Roman" w:eastAsia="Times New Roman"/>
          <w:b w:val="false"/>
          <w:sz w:val="26"/>
        </w:rPr>
        <w:t>Bước 2: Trả Giấy chứng sinh cho gia đình trẻ tại cơ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Trước khi trẻ xuất viện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Cơ sở y tế nơi trẻ sinh 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xác nhận về việc sinh con bằng kỹ thuật mang thai hộ quy định tại Phụ lục số 05 ban hành kèm theo Thông tư số 34/2015/TT-BYT ngày 27/10/2015.</w:t>
            </w:r>
          </w:p>
        </w:tc>
        <w:tc>
          <w:p/>
          <w:p>
            <w:pPr>
              <w:spacing w:after="0" w:before="0" w:lineRule="auto" w:line="276"/>
              <w:jc w:val="left"/>
            </w:pPr>
            <w:r>
              <w:rPr>
                <w:rFonts w:ascii="Times New Roman" w:hAnsi="Times New Roman" w:cs="Times New Roman" w:eastAsia="Times New Roman"/>
                <w:b w:val="false"/>
                <w:sz w:val="26"/>
              </w:rPr>
              <w:t>Phụ lục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thỏa thuận (bản sao có chứng thực hoặc bản phô tô kèm bản chính để đối chiếu) về mang thai hộ về mang thai hộ vì mục đích nhân đạo giữa Vợ chồng bên nhờ mang thai hộ và Bên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chữa bệnh nơi trẻ sinh ra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10/2015/NĐ-CP</w:t>
            </w:r>
          </w:p>
        </w:tc>
        <w:tc>
          <w:p/>
          <w:p>
            <w:pPr>
              <w:spacing w:after="0" w:before="0" w:lineRule="auto" w:line="276"/>
              <w:jc w:val="left"/>
            </w:pPr>
            <w:r>
              <w:rPr>
                <w:rFonts w:ascii="Times New Roman" w:hAnsi="Times New Roman" w:cs="Times New Roman" w:eastAsia="Times New Roman"/>
                <w:b w:val="false"/>
                <w:sz w:val="26"/>
              </w:rPr>
              <w:t>Nghị định 10/2015/NĐ-CP - Quy định về sinh con bằng kỹ thuật thụ tinh trong ống nghiệm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28-01-2015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17/2012/TT-BYT</w:t>
            </w:r>
          </w:p>
        </w:tc>
        <w:tc>
          <w:p/>
          <w:p>
            <w:pPr>
              <w:spacing w:after="0" w:before="0" w:lineRule="auto" w:line="276"/>
              <w:jc w:val="left"/>
            </w:pPr>
            <w:r>
              <w:rPr>
                <w:rFonts w:ascii="Times New Roman" w:hAnsi="Times New Roman" w:cs="Times New Roman" w:eastAsia="Times New Roman"/>
                <w:b w:val="false"/>
                <w:sz w:val="26"/>
              </w:rPr>
              <w:t>Thông tư 17/2012/TT-BYT -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34/2015/TT-BYT</w:t>
            </w:r>
          </w:p>
        </w:tc>
        <w:tc>
          <w:p/>
          <w:p>
            <w:pPr>
              <w:spacing w:after="0" w:before="0" w:lineRule="auto" w:line="276"/>
              <w:jc w:val="left"/>
            </w:pPr>
            <w:r>
              <w:rPr>
                <w:rFonts w:ascii="Times New Roman" w:hAnsi="Times New Roman" w:cs="Times New Roman" w:eastAsia="Times New Roman"/>
                <w:b w:val="false"/>
                <w:sz w:val="26"/>
              </w:rPr>
              <w:t>Thông tư 34/2015/TT-BYT-Sửa đổi, bổ sung Điều 2 Thông tư số 17/2012/TT-BYT ngày 24 tháng 10 năm 2012 của Bộ trưởng Bộ Y tế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27-10-2015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2026-05-20T08:00:27Z</dcterms:created>
  <dc:creator>Apache POI</dc:creator>
</cp:coreProperties>
</file>