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1.001236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Số 1061/QĐ-BNG</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bổ sung, sửa đổi hộ chiếu phổ thông (điều chỉnh họ tên, ngày tháng năm sinh, nơi sinh, giới tính, số giấy chứng minh nhân dân trong hộ chiếu), hoặc bổ sung trẻ em dưới 09 tuổi vào hộ chiếu Việt Nam của cha hoặc mẹ tại cơ quan đại diện Việt Nam ở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Cấp hộ chiếu, giấy thông hành, công hàm đề nghị cấp thị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yêu cầu nộp hồ sơ trực tiếp tại trụ sở Cơ quan đại diện ngoại giao, cơ quan lãnh sự của Việt Nam ở nước ngoài (sau đây gọi là Cơ quan đại diện).</w:t>
      </w:r>
    </w:p>
    <w:p>
      <w:pPr>
        <w:spacing w:after="0" w:before="0" w:lineRule="auto" w:line="276"/>
        <w:jc w:val="both"/>
      </w:pPr>
      <w:r>
        <w:rPr>
          <w:rFonts w:ascii="Times New Roman" w:hAnsi="Times New Roman" w:cs="Times New Roman" w:eastAsia="Times New Roman"/>
          <w:b w:val="false"/>
          <w:sz w:val="26"/>
        </w:rPr>
        <w:t>Thời gian nhận hồ sơ và trả kết quả: các ngày làm việc theo quy định của Cơ quan đại diện (trừ các ngày nghỉ, ngày lễ theo quy định của nước sở tại và các ngày lễ, ngày Tết theo quy định của Việt Nam).</w:t>
      </w:r>
    </w:p>
    <w:p>
      <w:pPr>
        <w:spacing w:after="0" w:before="0" w:lineRule="auto" w:line="276"/>
        <w:jc w:val="both"/>
      </w:pPr>
      <w:r>
        <w:rPr>
          <w:rFonts w:ascii="Times New Roman" w:hAnsi="Times New Roman" w:cs="Times New Roman" w:eastAsia="Times New Roman"/>
          <w:b w:val="false"/>
          <w:sz w:val="26"/>
        </w:rPr>
        <w:t xml:space="preserve"> Cơ quan đại diện xem xét hồ sơ, nếu có những điểm chưa rõ cần xác minh thì điện về Cục Quản lý xuất nhập cảnh Bộ Công an hoặc cơ quan đã cấp hộ chiếu cần bổ sung sửa đổi.</w:t>
      </w:r>
    </w:p>
    <w:p>
      <w:pPr>
        <w:spacing w:after="0" w:before="0" w:lineRule="auto" w:line="276"/>
        <w:jc w:val="both"/>
      </w:pPr>
      <w:r>
        <w:rPr>
          <w:rFonts w:ascii="Times New Roman" w:hAnsi="Times New Roman" w:cs="Times New Roman" w:eastAsia="Times New Roman"/>
          <w:b w:val="false"/>
          <w:sz w:val="26"/>
        </w:rPr>
        <w:t>Nhận kết quả trực tiếp tại trụ sở Cơ quan đại diện.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t>Lệ phí : 15 USD</w:t>
              <w:t xml:space="preserve"> (Bổ sung, sửa đổi, dán ảnh trẻ em)</w:t>
              <w:br/>
              <w:t>File đính kèm: VanBanGoc_264-2016-TT-BTC.pdf</w:t>
            </w:r>
          </w:p>
        </w:tc>
        <w:tc>
          <w:p/>
          <w:p>
            <w:pPr>
              <w:spacing w:after="0" w:before="0" w:lineRule="auto" w:line="276"/>
              <w:jc w:val="left"/>
            </w:pPr>
            <w:r>
              <w:rPr>
                <w:rFonts w:ascii="Times New Roman" w:hAnsi="Times New Roman" w:cs="Times New Roman" w:eastAsia="Times New Roman"/>
                <w:b w:val="false"/>
                <w:sz w:val="26"/>
              </w:rPr>
              <w:t>Nộp hồ sơ trực tiếp tại trụ sở Cơ quan đại diện
Trong thời hạn không quá 05 ngày làm việc kể từ ngày nhận đủ hồ sơ hợp lệ. Trong trường hợp không đủ căn cứ để bổ sung, sửa đổi hộ chiếu phải xác minh thì không quá 05 ngày làm việc kể từ ngày nhận được thông báo của các cơ quan chức năng.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đề nghị bổ sung, sửa đổi hộ chiếu phổ thông theo mẫu. Người đề nghị cần điền đầy đủ các nội dung trong Tờ khai, ký trực tiếp. 02 ảnh cỡ 4x6 cm, chụp trên nền mầu trắng, mắt nhìn thẳng, đầu để trần, không đeo kính màu, mặc thường phục, chụp không quá 1 năm dán vào Tờ khai</w:t>
            </w:r>
          </w:p>
        </w:tc>
        <w:tc>
          <w:p/>
          <w:p>
            <w:pPr>
              <w:spacing w:after="0" w:before="0" w:lineRule="auto" w:line="276"/>
              <w:jc w:val="left"/>
            </w:pPr>
            <w:r>
              <w:rPr>
                <w:rFonts w:ascii="Times New Roman" w:hAnsi="Times New Roman" w:cs="Times New Roman" w:eastAsia="Times New Roman"/>
                <w:b w:val="false"/>
                <w:sz w:val="26"/>
              </w:rPr>
              <w:t>Mẫu X02.docx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hoặc bản chụp giấy tờ có giá trị pháp lý chứng minh việc sửa đổi, bổ sung hộ chiếu là cần thiết (Ví dụ: Giấy khai sinh, CMND nếu có sự sai lệch về ngày tháng năm sinh, Quyết định của cơ quan có thẩm quyền về việc thay đổi họ tên, giới tính …). Nếu là bản chụp thì xuất trình bản chính để kiểm tra,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xác nhận nhân sự (nếu có) do Cục Quản lý xuất nhập cảnh, Bộ Công an cấp</w:t>
            </w:r>
          </w:p>
        </w:tc>
        <w:tc>
          <w:p/>
          <w:p>
            <w:pPr>
              <w:spacing w:after="0" w:before="0" w:lineRule="auto" w:line="276"/>
              <w:jc w:val="left"/>
            </w:pPr>
            <w:r>
              <w:rPr>
                <w:rFonts w:ascii="Times New Roman" w:hAnsi="Times New Roman" w:cs="Times New Roman" w:eastAsia="Times New Roman"/>
                <w:b w:val="false"/>
                <w:sz w:val="26"/>
              </w:rPr>
              <w:t>TTLT 08.pdf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cỡ 4x6 cm, chụp trên nền mầu trắng, mắt nhìn thẳng, đầu để trần, không đeo kính màu, mặc thường phục, chụp không quá 1 năm dán vào Tờ khai</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Hộ chiếu đã được cấp cần sửa đổi,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đại diện ngoại giao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Hộ chiếu đã được sửa đổi, bổ sung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33/2009/QH12</w:t>
            </w:r>
          </w:p>
        </w:tc>
        <w:tc>
          <w:p/>
          <w:p>
            <w:pPr>
              <w:spacing w:after="0" w:before="0" w:lineRule="auto" w:line="276"/>
              <w:jc w:val="left"/>
            </w:pPr>
            <w:r>
              <w:rPr>
                <w:rFonts w:ascii="Times New Roman" w:hAnsi="Times New Roman" w:cs="Times New Roman" w:eastAsia="Times New Roman"/>
                <w:b w:val="false"/>
                <w:sz w:val="26"/>
              </w:rPr>
              <w:t>Luật 33/2009/QH12</w:t>
            </w:r>
          </w:p>
        </w:tc>
        <w:tc>
          <w:p/>
          <w:p>
            <w:pPr>
              <w:spacing w:after="0" w:before="0" w:lineRule="auto" w:line="276"/>
              <w:jc w:val="left"/>
            </w:pPr>
            <w:r>
              <w:rPr>
                <w:rFonts w:ascii="Times New Roman" w:hAnsi="Times New Roman" w:cs="Times New Roman" w:eastAsia="Times New Roman"/>
                <w:b w:val="false"/>
                <w:sz w:val="26"/>
              </w:rPr>
              <w:t>18-06-2009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264/2016/TT-BTC</w:t>
            </w:r>
          </w:p>
        </w:tc>
        <w:tc>
          <w:p/>
          <w:p>
            <w:pPr>
              <w:spacing w:after="0" w:before="0" w:lineRule="auto" w:line="276"/>
              <w:jc w:val="left"/>
            </w:pPr>
            <w:r>
              <w:rPr>
                <w:rFonts w:ascii="Times New Roman" w:hAnsi="Times New Roman" w:cs="Times New Roman" w:eastAsia="Times New Roman"/>
                <w:b w:val="false"/>
                <w:sz w:val="26"/>
              </w:rPr>
              <w:t>Thông tư 264/2016/TT-BTC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94/2015/NĐ-CP</w:t>
            </w:r>
          </w:p>
        </w:tc>
        <w:tc>
          <w:p/>
          <w:p>
            <w:pPr>
              <w:spacing w:after="0" w:before="0" w:lineRule="auto" w:line="276"/>
              <w:jc w:val="left"/>
            </w:pPr>
            <w:r>
              <w:rPr>
                <w:rFonts w:ascii="Times New Roman" w:hAnsi="Times New Roman" w:cs="Times New Roman" w:eastAsia="Times New Roman"/>
                <w:b w:val="false"/>
                <w:sz w:val="26"/>
              </w:rPr>
              <w:t>Nghị định 94/2015/NĐ-CP</w:t>
            </w:r>
          </w:p>
        </w:tc>
        <w:tc>
          <w:p/>
          <w:p>
            <w:pPr>
              <w:spacing w:after="0" w:before="0" w:lineRule="auto" w:line="276"/>
              <w:jc w:val="left"/>
            </w:pPr>
            <w:r>
              <w:rPr>
                <w:rFonts w:ascii="Times New Roman" w:hAnsi="Times New Roman" w:cs="Times New Roman" w:eastAsia="Times New Roman"/>
                <w:b w:val="false"/>
                <w:sz w:val="26"/>
              </w:rPr>
              <w:t>16-10-2015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08/2009/TTLT/BCA-BNG</w:t>
            </w:r>
          </w:p>
        </w:tc>
        <w:tc>
          <w:p/>
          <w:p>
            <w:pPr>
              <w:spacing w:after="0" w:before="0" w:lineRule="auto" w:line="276"/>
              <w:jc w:val="left"/>
            </w:pPr>
            <w:r>
              <w:rPr>
                <w:rFonts w:ascii="Times New Roman" w:hAnsi="Times New Roman" w:cs="Times New Roman" w:eastAsia="Times New Roman"/>
                <w:b w:val="false"/>
                <w:sz w:val="26"/>
              </w:rPr>
              <w:t>Thông tư liên tịch 08/2009/TTLT/BCA-BNG</w:t>
            </w:r>
          </w:p>
        </w:tc>
        <w:tc>
          <w:p/>
          <w:p>
            <w:pPr>
              <w:spacing w:after="0" w:before="0" w:lineRule="auto" w:line="276"/>
              <w:jc w:val="left"/>
            </w:pPr>
            <w:r>
              <w:rPr>
                <w:rFonts w:ascii="Times New Roman" w:hAnsi="Times New Roman" w:cs="Times New Roman" w:eastAsia="Times New Roman"/>
                <w:b w:val="false"/>
                <w:sz w:val="26"/>
              </w:rPr>
              <w:t>06-10-2009</w:t>
            </w:r>
          </w:p>
        </w:tc>
        <w:tc>
          <w:p/>
          <w:p>
            <w:pPr>
              <w:spacing w:after="0" w:before="0" w:lineRule="auto" w:line="276"/>
              <w:jc w:val="left"/>
            </w:pPr>
            <w:r>
              <w:rPr>
                <w:rFonts w:ascii="Times New Roman" w:hAnsi="Times New Roman" w:cs="Times New Roman" w:eastAsia="Times New Roman"/>
                <w:b w:val="false"/>
                <w:sz w:val="26"/>
              </w:rPr>
              <w:t>Bộ Ngoại giao</w:t>
            </w:r>
          </w:p>
        </w:tc>
      </w:tr>
      <w:tr>
        <w:tc>
          <w:p/>
          <w:p>
            <w:pPr>
              <w:spacing w:after="0" w:before="0" w:lineRule="auto" w:line="276"/>
              <w:jc w:val="left"/>
            </w:pPr>
            <w:r>
              <w:rPr>
                <w:rFonts w:ascii="Times New Roman" w:hAnsi="Times New Roman" w:cs="Times New Roman" w:eastAsia="Times New Roman"/>
                <w:b w:val="false"/>
                <w:sz w:val="26"/>
              </w:rPr>
              <w:t>08/2013/TTLT-BCA-BNG</w:t>
            </w:r>
          </w:p>
        </w:tc>
        <w:tc>
          <w:p/>
          <w:p>
            <w:pPr>
              <w:spacing w:after="0" w:before="0" w:lineRule="auto" w:line="276"/>
              <w:jc w:val="left"/>
            </w:pPr>
            <w:r>
              <w:rPr>
                <w:rFonts w:ascii="Times New Roman" w:hAnsi="Times New Roman" w:cs="Times New Roman" w:eastAsia="Times New Roman"/>
                <w:b w:val="false"/>
                <w:sz w:val="26"/>
              </w:rPr>
              <w:t>Thông tư liên tịch 08/2013/TTLT-BCA-BNG</w:t>
            </w:r>
          </w:p>
        </w:tc>
        <w:tc>
          <w:p/>
          <w:p>
            <w:pPr>
              <w:spacing w:after="0" w:before="0" w:lineRule="auto" w:line="276"/>
              <w:jc w:val="left"/>
            </w:pPr>
            <w:r>
              <w:rPr>
                <w:rFonts w:ascii="Times New Roman" w:hAnsi="Times New Roman" w:cs="Times New Roman" w:eastAsia="Times New Roman"/>
                <w:b w:val="false"/>
                <w:sz w:val="26"/>
              </w:rPr>
              <w:t>20-08-2013</w:t>
            </w:r>
          </w:p>
        </w:tc>
        <w:tc>
          <w:p/>
          <w:p>
            <w:pPr>
              <w:spacing w:after="0" w:before="0" w:lineRule="auto" w:line="276"/>
              <w:jc w:val="left"/>
            </w:pPr>
            <w:r>
              <w:rPr>
                <w:rFonts w:ascii="Times New Roman" w:hAnsi="Times New Roman" w:cs="Times New Roman" w:eastAsia="Times New Roman"/>
                <w:b w:val="false"/>
                <w:sz w:val="26"/>
              </w:rPr>
              <w:t>Bộ Ngoại giao</w:t>
            </w:r>
          </w:p>
        </w:tc>
      </w:tr>
      <w:tr>
        <w:tc>
          <w:p/>
          <w:p>
            <w:pPr>
              <w:spacing w:after="0" w:before="0" w:lineRule="auto" w:line="276"/>
              <w:jc w:val="left"/>
            </w:pPr>
            <w:r>
              <w:rPr>
                <w:rFonts w:ascii="Times New Roman" w:hAnsi="Times New Roman" w:cs="Times New Roman" w:eastAsia="Times New Roman"/>
                <w:b w:val="false"/>
                <w:sz w:val="26"/>
              </w:rPr>
              <w:t>136/2007/NĐ-CP</w:t>
            </w:r>
          </w:p>
        </w:tc>
        <w:tc>
          <w:p/>
          <w:p>
            <w:pPr>
              <w:spacing w:after="0" w:before="0" w:lineRule="auto" w:line="276"/>
              <w:jc w:val="left"/>
            </w:pPr>
            <w:r>
              <w:rPr>
                <w:rFonts w:ascii="Times New Roman" w:hAnsi="Times New Roman" w:cs="Times New Roman" w:eastAsia="Times New Roman"/>
                <w:b w:val="false"/>
                <w:sz w:val="26"/>
              </w:rPr>
              <w:t>Nghị định 136/2007/NĐ-CP - Về xuất cảnh, nhập cảnh của công dân Việt Nam</w:t>
            </w:r>
          </w:p>
        </w:tc>
        <w:tc>
          <w:p/>
          <w:p>
            <w:pPr>
              <w:spacing w:after="0" w:before="0" w:lineRule="auto" w:line="276"/>
              <w:jc w:val="left"/>
            </w:pPr>
            <w:r>
              <w:rPr>
                <w:rFonts w:ascii="Times New Roman" w:hAnsi="Times New Roman" w:cs="Times New Roman" w:eastAsia="Times New Roman"/>
                <w:b w:val="false"/>
                <w:sz w:val="26"/>
              </w:rPr>
              <w:t>17-08-2007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Trẻ em dưới 9 tuổi có thể cấp chung vào hộ chiếu với bố mẹ nếu có yêu cầu bằng văn bản;
- Hộ chiếu cấp cho trẻ em dưới 14 tuổi có giá trị 05 năm và không gia hạn.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2026-05-17T00:44:47Z</dcterms:created>
  <dc:creator>Apache POI</dc:creator>
</cp:coreProperties>
</file>