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Chi nhánh doanh nghiệp đấu giá tài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giá tài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đấu giá tài sản nộp một bộ hồ sơ đăng ký hoạt động của chi
nhánh doanh nghiệp đến Sở Tư pháp nơi đặt chi nhánh.
Trong thời hạn 07 ngày làm việc kể từ ngày nhận đủ hồ sơ hợp lệ, Sở Tư
pháp cấp Giấy đăng ký hoạt động cho chi nhánh; trường hợp từ chối thì phải thông
báo lý do bằng văn bản. Doanh nghiệp bị từ chối có quyền khiếu nại, khởi kiện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Doanh nghiệp đấu giá tài sản nộp hồ sơ đăng ký hoạt động của chi nhánh doanh nghiệp đến Sở Tư pháp nơi đặt chi nhánh.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tuyến:https://dichvucong.gov.vn (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Sở Tư pháp cấp Giấy đăng ký hoạt động cho chi nhánh; trường hợp từ chối thì phải thông báo lý do bằng văn bản. Doanh nghiệp bị từ chối có quyền khiếu nại, khởi kiện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của chi nhánh doanh nghiệp đấu giá tài sản</w:t>
            </w:r>
          </w:p>
        </w:tc>
        <w:tc>
          <w:p/>
          <w:p>
            <w:pPr>
              <w:spacing w:after="0" w:before="0" w:lineRule="auto" w:line="276"/>
              <w:jc w:val="left"/>
            </w:pPr>
            <w:r>
              <w:rPr>
                <w:rFonts w:ascii="Times New Roman" w:hAnsi="Times New Roman" w:cs="Times New Roman" w:eastAsia="Times New Roman"/>
                <w:b w:val="false"/>
                <w:sz w:val="26"/>
              </w:rPr>
              <w:t>MauTPDGTS06.doc.doc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Giấy đăng ký hoạt động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Chứng chỉ hành nghề đấu giá của Trưởng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Tư pháp tại Trung tâmPhục vụ  hành chính công tỉnh Thanh Hóa (số 28 Đại lộ Lê Lợi, phường Hạc Thành, thành phố Thanh Hóa).Địa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Chi nhánh doanh nghiệp đấu giá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01/2016/QH14</w:t>
            </w:r>
          </w:p>
        </w:tc>
        <w:tc>
          <w:p/>
          <w:p>
            <w:pPr>
              <w:spacing w:after="0" w:before="0" w:lineRule="auto" w:line="276"/>
              <w:jc w:val="left"/>
            </w:pPr>
            <w:r>
              <w:rPr>
                <w:rFonts w:ascii="Times New Roman" w:hAnsi="Times New Roman" w:cs="Times New Roman" w:eastAsia="Times New Roman"/>
                <w:b w:val="false"/>
                <w:sz w:val="26"/>
              </w:rPr>
              <w:t>Luật 01/2016/QH14</w:t>
            </w:r>
          </w:p>
        </w:tc>
        <w:tc>
          <w:p/>
          <w:p>
            <w:pPr>
              <w:spacing w:after="0" w:before="0" w:lineRule="auto" w:line="276"/>
              <w:jc w:val="left"/>
            </w:pPr>
            <w:r>
              <w:rPr>
                <w:rFonts w:ascii="Times New Roman" w:hAnsi="Times New Roman" w:cs="Times New Roman" w:eastAsia="Times New Roman"/>
                <w:b w:val="false"/>
                <w:sz w:val="26"/>
              </w:rPr>
              <w:t>17-11-2016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62/2017/NĐ-CP</w:t>
            </w:r>
          </w:p>
        </w:tc>
        <w:tc>
          <w:p/>
          <w:p>
            <w:pPr>
              <w:spacing w:after="0" w:before="0" w:lineRule="auto" w:line="276"/>
              <w:jc w:val="left"/>
            </w:pPr>
            <w:r>
              <w:rPr>
                <w:rFonts w:ascii="Times New Roman" w:hAnsi="Times New Roman" w:cs="Times New Roman" w:eastAsia="Times New Roman"/>
                <w:b w:val="false"/>
                <w:sz w:val="26"/>
              </w:rPr>
              <w:t>Nghị định 62/2017/NĐ-CP</w:t>
            </w:r>
          </w:p>
        </w:tc>
        <w:tc>
          <w:p/>
          <w:p>
            <w:pPr>
              <w:spacing w:after="0" w:before="0" w:lineRule="auto" w:line="276"/>
              <w:jc w:val="left"/>
            </w:pPr>
            <w:r>
              <w:rPr>
                <w:rFonts w:ascii="Times New Roman" w:hAnsi="Times New Roman" w:cs="Times New Roman" w:eastAsia="Times New Roman"/>
                <w:b w:val="false"/>
                <w:sz w:val="26"/>
              </w:rPr>
              <w:t>16-05-2017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06/2017/TT-BTP</w:t>
            </w:r>
          </w:p>
        </w:tc>
        <w:tc>
          <w:p/>
          <w:p>
            <w:pPr>
              <w:spacing w:after="0" w:before="0" w:lineRule="auto" w:line="276"/>
              <w:jc w:val="left"/>
            </w:pPr>
            <w:r>
              <w:rPr>
                <w:rFonts w:ascii="Times New Roman" w:hAnsi="Times New Roman" w:cs="Times New Roman" w:eastAsia="Times New Roman"/>
                <w:b w:val="false"/>
                <w:sz w:val="26"/>
              </w:rPr>
              <w:t>Thông tư 06/2017/TT-BTP</w:t>
            </w:r>
          </w:p>
        </w:tc>
        <w:tc>
          <w:p/>
          <w:p>
            <w:pPr>
              <w:spacing w:after="0" w:before="0" w:lineRule="auto" w:line="276"/>
              <w:jc w:val="left"/>
            </w:pPr>
            <w:r>
              <w:rPr>
                <w:rFonts w:ascii="Times New Roman" w:hAnsi="Times New Roman" w:cs="Times New Roman" w:eastAsia="Times New Roman"/>
                <w:b w:val="false"/>
                <w:sz w:val="26"/>
              </w:rPr>
              <w:t>16-05-2017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19/2024/TT-BTP</w:t>
            </w:r>
          </w:p>
        </w:tc>
        <w:tc>
          <w:p/>
          <w:p>
            <w:pPr>
              <w:spacing w:after="0" w:before="0" w:lineRule="auto" w:line="276"/>
              <w:jc w:val="left"/>
            </w:pPr>
            <w:r>
              <w:rPr>
                <w:rFonts w:ascii="Times New Roman" w:hAnsi="Times New Roman" w:cs="Times New Roman" w:eastAsia="Times New Roman"/>
                <w:b w:val="false"/>
                <w:sz w:val="26"/>
              </w:rPr>
              <w:t>Thông tư số 19/2024/TT-BTP ngày 31/12/2024 của Bộ trưởng Bộ Tư pháp quy định chi tiết và hướng dẫn thi hành một số điều của Luật Đấu giá tài sản số 01/2016/QH14 được sửa đổi, bổ sung một số điều theo Luật số 37/2024/QH15</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Chi nhánh của doanh nghiệp đấu giá tài sản được thành lập ở trong hoặc ngoài phạm vi tỉnh, thành phố trực thuộc trung ương nơi doanh nghiệp đấu giá tài sản đăng ký hoạt động. Doanh nghiệp đấu giá tài sản chịu trách nhiệm về hoạt động của chi nhánh. Doanh nghiệp đấu giá tài sản cử một đấu giá viên của doanh nghiệp làm Trưởng chi nhánh.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2026-05-26T12:16:46Z</dcterms:created>
  <dc:creator>Apache POI</dc:creator>
</cp:coreProperties>
</file>