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1.002445.000.00.00.H56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của câu lạc bộ thể thao chuyên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gửi hồ sơ đề nghị cấp giấy chứng nhận đủ điều kiện kinh doanh hoạt động thể thao của câu lạc bộ thể thao chuyên nghiệp đến cơ quan chuyên môn về thể dục, thể thao thuộc Ủy ban nhân dân cấp tỉnh.
Trong thời hạn bảy (05) ngày làm việc, kể từ ngày nhận đủ hồ sơ hợp lệ, cơ quan chuyên môn về thể dục, thể thao thuộc Ủy ban nhân dân cấp tỉnh phải kiểm tra các điều kiện kinh doanh hoạt động thể thao của câu lạc bộ thể thao chuyên nghiệp và cấp giấy chứng nhận đủ điều kiện kinh doanh hoạt động thể thao.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(Võ cổ truyền và Vovinam, Karatedo, Quyền anh, Judo, Taekwondo, Bắn súng thể thao, Bóng ném, Wushu, Bóng rổ, Yoga, Đấu kiếm thể thao)</w:t>
            </w:r>
          </w:p>
          <w:p>
            <w:pPr>
              <w:spacing w:after="0" w:before="0" w:lineRule="auto" w:line="276"/>
              <w:jc w:val="left"/>
            </w:pPr>
            <w:r>
              <w:rPr>
                <w:rFonts w:ascii="Times New Roman" w:hAnsi="Times New Roman" w:cs="Times New Roman" w:eastAsia="Times New Roman"/>
                <w:b w:val="false"/>
                <w:sz w:val="26"/>
              </w:rPr>
              <w:t>Phí : 1500000 Đồng</w:t>
              <w:t xml:space="preserve"> (Lân sư rồng, Cầu lông, Bóng bàn, Leo núi thể thao (leo núi tự nhiên), Lặn biển thể thao giải trí)</w:t>
            </w:r>
          </w:p>
          <w:p>
            <w:pPr>
              <w:spacing w:after="0" w:before="0" w:lineRule="auto" w:line="276"/>
              <w:jc w:val="left"/>
            </w:pPr>
            <w:r>
              <w:rPr>
                <w:rFonts w:ascii="Times New Roman" w:hAnsi="Times New Roman" w:cs="Times New Roman" w:eastAsia="Times New Roman"/>
                <w:b w:val="false"/>
                <w:sz w:val="26"/>
              </w:rPr>
              <w:t>Phí : 2500000 Đồng</w:t>
              <w:t xml:space="preserve"> (Patin, Vũ đạo giải trí, Khiêu vũ thể thao, Billiards và Snooker, Bóng đá, Quần vợt, Bơi, lặn, Thể dục thẩm mỹ, Thể dục thể hình)</w:t>
            </w:r>
          </w:p>
          <w:p>
            <w:pPr>
              <w:spacing w:after="0" w:before="0" w:lineRule="auto" w:line="276"/>
              <w:jc w:val="left"/>
            </w:pPr>
            <w:r>
              <w:rPr>
                <w:rFonts w:ascii="Times New Roman" w:hAnsi="Times New Roman" w:cs="Times New Roman" w:eastAsia="Times New Roman"/>
                <w:b w:val="false"/>
                <w:sz w:val="26"/>
              </w:rPr>
              <w:t>Phí : 3000000 Đồng</w:t>
              <w:t xml:space="preserve"> (Mô tô nước trên biển, Dù lượn và diều bay có động cơ, Golf)</w:t>
            </w:r>
          </w:p>
        </w:tc>
        <w:tc>
          <w:p/>
          <w:p>
            <w:pPr>
              <w:spacing w:after="0" w:before="0" w:lineRule="auto" w:line="276"/>
              <w:jc w:val="left"/>
            </w:pPr>
            <w:r>
              <w:rPr>
                <w:rFonts w:ascii="Times New Roman" w:hAnsi="Times New Roman" w:cs="Times New Roman" w:eastAsia="Times New Roman"/>
                <w:b w:val="false"/>
                <w:sz w:val="26"/>
              </w:rPr>
              <w:t>Trong thời hạn bảy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(Võ cổ truyền và Vovinam, Karatedo, Quyền anh, Judo, Taekwondo, Bắn súng thể thao, Bóng ném, Wushu, Bóng rổ, Yoga, Đấu kiếm thể thao)</w:t>
            </w:r>
          </w:p>
          <w:p>
            <w:pPr>
              <w:spacing w:after="0" w:before="0" w:lineRule="auto" w:line="276"/>
              <w:jc w:val="left"/>
            </w:pPr>
            <w:r>
              <w:rPr>
                <w:rFonts w:ascii="Times New Roman" w:hAnsi="Times New Roman" w:cs="Times New Roman" w:eastAsia="Times New Roman"/>
                <w:b w:val="false"/>
                <w:sz w:val="26"/>
              </w:rPr>
              <w:t>Phí : 1500000 Đồng</w:t>
              <w:t xml:space="preserve"> (Lân sư rồng, Cầu lông, Bóng bàn, Leo núi thể thao (leo núi tự nhiên), Lặn biển thể thao giải trí)</w:t>
            </w:r>
          </w:p>
          <w:p>
            <w:pPr>
              <w:spacing w:after="0" w:before="0" w:lineRule="auto" w:line="276"/>
              <w:jc w:val="left"/>
            </w:pPr>
            <w:r>
              <w:rPr>
                <w:rFonts w:ascii="Times New Roman" w:hAnsi="Times New Roman" w:cs="Times New Roman" w:eastAsia="Times New Roman"/>
                <w:b w:val="false"/>
                <w:sz w:val="26"/>
              </w:rPr>
              <w:t>Phí : 2500000 Đồng</w:t>
              <w:t xml:space="preserve"> (Patin, Vũ đạo giải trí, Khiêu vũ thể thao, Billiards và Snooker, Bóng đá, Quần vợt, Bơi, lặn, Thể dục thẩm mỹ, Thể dục thể hình)</w:t>
            </w:r>
          </w:p>
          <w:p>
            <w:pPr>
              <w:spacing w:after="0" w:before="0" w:lineRule="auto" w:line="276"/>
              <w:jc w:val="left"/>
            </w:pPr>
            <w:r>
              <w:rPr>
                <w:rFonts w:ascii="Times New Roman" w:hAnsi="Times New Roman" w:cs="Times New Roman" w:eastAsia="Times New Roman"/>
                <w:b w:val="false"/>
                <w:sz w:val="26"/>
              </w:rPr>
              <w:t>Phí : 3000000 Đồng</w:t>
              <w:t xml:space="preserve"> (Mô tô nước trên biển, Dù lượn và diều bay có động cơ, Golf)</w:t>
            </w:r>
          </w:p>
        </w:tc>
        <w:tc>
          <w:p/>
          <w:p>
            <w:pPr>
              <w:spacing w:after="0" w:before="0" w:lineRule="auto" w:line="276"/>
              <w:jc w:val="left"/>
            </w:pPr>
            <w:r>
              <w:rPr>
                <w:rFonts w:ascii="Times New Roman" w:hAnsi="Times New Roman" w:cs="Times New Roman" w:eastAsia="Times New Roman"/>
                <w:b w:val="false"/>
                <w:sz w:val="26"/>
              </w:rPr>
              <w:t>Trong thời hạn bảy (05) ngày làm việc, kể từ ngày nhận đủ hồ sơ hợp lệ
- Địa chỉ trực tuyến: https://dichvucong.gov.vn (toàn trình)
(Tổ chức, cá nhân khi thực hiện các thủ tục hành chính thông qua dịch vụ công trực tuyến theo quy định của nhà nước không phải nộp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t xml:space="preserve"> (Võ cổ truyền và Vovinam, Karatedo, Quyền anh, Judo, Taekwondo, Bắn súng thể thao, Bóng ném, Wushu, Bóng rổ, Yoga, Đấu kiếm thể thao)</w:t>
            </w:r>
          </w:p>
          <w:p>
            <w:pPr>
              <w:spacing w:after="0" w:before="0" w:lineRule="auto" w:line="276"/>
              <w:jc w:val="left"/>
            </w:pPr>
            <w:r>
              <w:rPr>
                <w:rFonts w:ascii="Times New Roman" w:hAnsi="Times New Roman" w:cs="Times New Roman" w:eastAsia="Times New Roman"/>
                <w:b w:val="false"/>
                <w:sz w:val="26"/>
              </w:rPr>
              <w:t>Phí : 1500000 Đồng</w:t>
              <w:t xml:space="preserve"> (Lân sư rồng, Cầu lông, Bóng bàn, Leo núi thể thao (leo núi tự nhiên), Lặn biển thể thao giải trí)</w:t>
            </w:r>
          </w:p>
          <w:p>
            <w:pPr>
              <w:spacing w:after="0" w:before="0" w:lineRule="auto" w:line="276"/>
              <w:jc w:val="left"/>
            </w:pPr>
            <w:r>
              <w:rPr>
                <w:rFonts w:ascii="Times New Roman" w:hAnsi="Times New Roman" w:cs="Times New Roman" w:eastAsia="Times New Roman"/>
                <w:b w:val="false"/>
                <w:sz w:val="26"/>
              </w:rPr>
              <w:t>Phí : 2500000 Đồng</w:t>
              <w:t xml:space="preserve"> (Patin, Vũ đạo giải trí, Khiêu vũ thể thao, Billiards và Snooker, Bóng đá, Quần vợt, Bơi, lặn, Thể dục thẩm mỹ, Thể dục thể hình)</w:t>
            </w:r>
          </w:p>
          <w:p>
            <w:pPr>
              <w:spacing w:after="0" w:before="0" w:lineRule="auto" w:line="276"/>
              <w:jc w:val="left"/>
            </w:pPr>
            <w:r>
              <w:rPr>
                <w:rFonts w:ascii="Times New Roman" w:hAnsi="Times New Roman" w:cs="Times New Roman" w:eastAsia="Times New Roman"/>
                <w:b w:val="false"/>
                <w:sz w:val="26"/>
              </w:rPr>
              <w:t>Phí : 3000000 Đồng</w:t>
              <w:t xml:space="preserve"> (Mô tô nước trên biển, Dù lượn và diều bay có động cơ, Golf)</w:t>
            </w:r>
          </w:p>
        </w:tc>
        <w:tc>
          <w:p/>
          <w:p>
            <w:pPr>
              <w:spacing w:after="0" w:before="0" w:lineRule="auto" w:line="276"/>
              <w:jc w:val="left"/>
            </w:pPr>
            <w:r>
              <w:rPr>
                <w:rFonts w:ascii="Times New Roman" w:hAnsi="Times New Roman" w:cs="Times New Roman" w:eastAsia="Times New Roman"/>
                <w:b w:val="false"/>
                <w:sz w:val="26"/>
              </w:rPr>
              <w:t>Trong thời hạn bảy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tóm tắt tình hình chuẩn bị các điều kiện kinh doanh theo Mẫu số 03 ban hành kèm theo Nghị định số 36/2019/NĐ-CP ngày 29/4/2019 quy định chi tiết một số điều của Luật sửa đổi, bổ sung một số điều của Luật Thể dục, thể thao, gồm: + Đội ngũ cán bộ, nhân viên thể thao đáp ứng yêu cầu hoạt động thể thao chuyên nghiệp. + Vận động viên chuyên nghiệp, huấn luyện viên chuyên nghiệp. + Cơ sở vật chất, trang thiết bị phù hợp với hoạt động thể thao chuyên nghiệp.</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Văn hóa, Thể thao và Du lịch Thanh Hóa tại Trung tâm Phục vụ hành chính công tỉnh Thanh Hóa (số 28 Đại lộ Lê Lợi, phường Hạc Thành, tỉnh Thanh Hóa).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Huấn luyện viên thể thao chuyên nghiệp phải đáp ứng một trong các điều kiện sau đây:
- Có bằng tốt nghiệp đại học thể dục thể thao chuyên ngành phù hợp với hoạt động của môn thể thao chuyên nghiệp và hoàn thành chương trình đào tạo huấn luyện viên chuyên nghiệp của liên đoàn thể thao quốc gia.
- Có bằng huấn luyện viên chuyên nghiệp do liên đoàn thể thao châu lục hoặc thế giới của môn thể thao chuyên nghiệp cấp.
- Có bằng huấn luyện viên chuyên nghiệp của nước ngoài được liên đoàn thể thao châu lục hoặc thế giới của môn thể thao chuyên nghiệp công nhận.
(2) Vận động viên chuyên nghiệp phải đáp ứng các điều kiện sau đây:
-  Có hợp đồng lao động với câu lạc bộ thể thao chuyên nghiệp.
-  Được liên đoàn thể thao quốc gia công nhận là vận động viên chuyên nghiệp. Trường hợp vận động viên là người nước ngoài tham gia thi đấu thể thao chuyên nghiệp tại Việt Nam phải có chứng nhận chuyển nhượng quốc tế và Giấy phép lao động theo quy định pháp luật về lao động.
(3) Nhân viên y tế thường trực trong các buổi tập luyện và thi đấu thể thao chuyên nghiệp hoặc nhân viên y tế của cơ sở y tế mà câu lạc bộ thể thao chuyên nghiệp ký hợp đồng để sơ cứu, cấp cứu người tham gia hoạt động thể thao chuyên nghiệp trong trường hợp cần thiết phải có trình độ chuyên môn từ cao đẳng y tế trở lên.
(4) Cơ sở vật chất, trang thiết bị tập luyện và thi đấu thể thao chuyên nghiệp phải đảm bảo quy chuẩn kỹ thuật quốc gia, tiêu chuẩn Việt Nam hoặc tiêu chuẩn quốc tế và phù hợp với quy định của các tổ chức thể thao chuyên nghiệp quốc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2026-05-12T15:30:46Z</dcterms:created>
  <dc:creator>Apache POI</dc:creator>
</cp:coreProperties>
</file>